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517" w:rsidRPr="00A61430" w:rsidRDefault="00D442C6" w:rsidP="00652FAE">
      <w:pPr>
        <w:pStyle w:val="ae"/>
      </w:pPr>
      <w:r w:rsidRPr="00A61430">
        <w:t>ΕΤΗΣΙΑ ΕΚΘΕΣΗ</w:t>
      </w:r>
      <w:r w:rsidR="00A36517" w:rsidRPr="00A61430">
        <w:t xml:space="preserve"> 201</w:t>
      </w:r>
      <w:r w:rsidR="000D24F7">
        <w:t>9</w:t>
      </w:r>
    </w:p>
    <w:p w:rsidR="00A36517" w:rsidRPr="00A61430" w:rsidRDefault="00A36517" w:rsidP="00A61430">
      <w:pPr>
        <w:tabs>
          <w:tab w:val="center" w:pos="1800"/>
        </w:tabs>
        <w:spacing w:after="0" w:line="240" w:lineRule="auto"/>
        <w:jc w:val="center"/>
        <w:rPr>
          <w:rFonts w:ascii="Verdana" w:hAnsi="Verdana"/>
          <w:b/>
          <w:bCs/>
          <w:smallCaps/>
          <w:color w:val="000000"/>
          <w:sz w:val="32"/>
          <w:szCs w:val="32"/>
        </w:rPr>
      </w:pPr>
    </w:p>
    <w:p w:rsidR="00A36517" w:rsidRPr="00B7100C" w:rsidRDefault="00A36517" w:rsidP="00A61430">
      <w:pPr>
        <w:tabs>
          <w:tab w:val="center" w:pos="1800"/>
        </w:tabs>
        <w:spacing w:after="0" w:line="240" w:lineRule="auto"/>
        <w:jc w:val="center"/>
        <w:rPr>
          <w:rFonts w:ascii="Verdana" w:hAnsi="Verdana"/>
          <w:b/>
          <w:bCs/>
          <w:smallCaps/>
          <w:color w:val="3E3E67"/>
          <w:sz w:val="32"/>
          <w:szCs w:val="32"/>
        </w:rPr>
      </w:pPr>
      <w:r w:rsidRPr="00A61430">
        <w:rPr>
          <w:rFonts w:ascii="Verdana" w:hAnsi="Verdana"/>
          <w:b/>
          <w:bCs/>
          <w:smallCaps/>
          <w:color w:val="3E3E67"/>
          <w:sz w:val="32"/>
          <w:szCs w:val="32"/>
        </w:rPr>
        <w:t xml:space="preserve">Γραφείου Οικονομικών και Εμπορικών Υποθέσεων </w:t>
      </w:r>
      <w:proofErr w:type="spellStart"/>
      <w:r w:rsidR="00762541" w:rsidRPr="00A61430">
        <w:rPr>
          <w:rFonts w:ascii="Verdana" w:hAnsi="Verdana"/>
          <w:b/>
          <w:bCs/>
          <w:smallCaps/>
          <w:color w:val="3E3E67"/>
          <w:sz w:val="32"/>
          <w:szCs w:val="32"/>
        </w:rPr>
        <w:t>μπακου</w:t>
      </w:r>
      <w:proofErr w:type="spellEnd"/>
    </w:p>
    <w:p w:rsidR="00AC4755" w:rsidRPr="00B7100C" w:rsidRDefault="00AC4755" w:rsidP="00A61430">
      <w:pPr>
        <w:tabs>
          <w:tab w:val="center" w:pos="1800"/>
        </w:tabs>
        <w:spacing w:after="0" w:line="240" w:lineRule="auto"/>
        <w:jc w:val="center"/>
        <w:rPr>
          <w:rFonts w:ascii="Verdana" w:hAnsi="Verdana"/>
          <w:b/>
          <w:bCs/>
          <w:smallCaps/>
          <w:color w:val="3E3E67"/>
          <w:sz w:val="32"/>
          <w:szCs w:val="32"/>
        </w:rPr>
      </w:pPr>
    </w:p>
    <w:tbl>
      <w:tblPr>
        <w:tblStyle w:val="a9"/>
        <w:tblW w:w="9000" w:type="dxa"/>
        <w:tblInd w:w="-162" w:type="dxa"/>
        <w:shd w:val="clear" w:color="auto" w:fill="DDD9C3" w:themeFill="background2" w:themeFillShade="E6"/>
        <w:tblLook w:val="04A0" w:firstRow="1" w:lastRow="0" w:firstColumn="1" w:lastColumn="0" w:noHBand="0" w:noVBand="1"/>
      </w:tblPr>
      <w:tblGrid>
        <w:gridCol w:w="9000"/>
      </w:tblGrid>
      <w:tr w:rsidR="00AC4755" w:rsidTr="00AC4755">
        <w:tc>
          <w:tcPr>
            <w:tcW w:w="9000" w:type="dxa"/>
            <w:shd w:val="clear" w:color="auto" w:fill="DDD9C3" w:themeFill="background2" w:themeFillShade="E6"/>
          </w:tcPr>
          <w:p w:rsidR="00AC4755" w:rsidRPr="00A61430" w:rsidRDefault="00AC4755" w:rsidP="00AC4755">
            <w:pPr>
              <w:tabs>
                <w:tab w:val="center" w:pos="1800"/>
              </w:tabs>
              <w:jc w:val="center"/>
              <w:rPr>
                <w:rFonts w:ascii="Verdana" w:hAnsi="Verdana"/>
                <w:b/>
                <w:bCs/>
                <w:smallCaps/>
                <w:color w:val="002060"/>
                <w:sz w:val="28"/>
                <w:szCs w:val="28"/>
              </w:rPr>
            </w:pPr>
            <w:r w:rsidRPr="00A61430">
              <w:rPr>
                <w:rFonts w:ascii="Verdana" w:hAnsi="Verdana"/>
                <w:b/>
                <w:bCs/>
                <w:smallCaps/>
                <w:color w:val="002060"/>
                <w:sz w:val="28"/>
                <w:szCs w:val="28"/>
              </w:rPr>
              <w:t xml:space="preserve">Η ΟΙΚΟΝΟΜΙΑ ΤΟΥ </w:t>
            </w:r>
            <w:r w:rsidRPr="00A61430">
              <w:rPr>
                <w:rFonts w:ascii="Verdana" w:hAnsi="Verdana" w:cs="Arial"/>
                <w:b/>
                <w:color w:val="002060"/>
                <w:sz w:val="28"/>
                <w:szCs w:val="28"/>
              </w:rPr>
              <w:t>ΑΖΕΡΜΠΑΪΤΖΑΝ</w:t>
            </w:r>
            <w:r w:rsidRPr="00A61430">
              <w:rPr>
                <w:rFonts w:ascii="Verdana" w:hAnsi="Verdana"/>
                <w:b/>
                <w:bCs/>
                <w:smallCaps/>
                <w:color w:val="002060"/>
                <w:sz w:val="28"/>
                <w:szCs w:val="28"/>
              </w:rPr>
              <w:t xml:space="preserve"> ΚΑΙ</w:t>
            </w:r>
          </w:p>
          <w:p w:rsidR="00AC4755" w:rsidRPr="00A61430" w:rsidRDefault="00AC4755" w:rsidP="00AC4755">
            <w:pPr>
              <w:tabs>
                <w:tab w:val="center" w:pos="1800"/>
              </w:tabs>
              <w:jc w:val="center"/>
              <w:rPr>
                <w:rFonts w:ascii="Verdana" w:hAnsi="Verdana"/>
                <w:b/>
                <w:bCs/>
                <w:smallCaps/>
                <w:color w:val="002060"/>
                <w:sz w:val="28"/>
                <w:szCs w:val="28"/>
              </w:rPr>
            </w:pPr>
            <w:r w:rsidRPr="00A61430">
              <w:rPr>
                <w:rFonts w:ascii="Verdana" w:hAnsi="Verdana"/>
                <w:b/>
                <w:bCs/>
                <w:smallCaps/>
                <w:color w:val="002060"/>
                <w:sz w:val="28"/>
                <w:szCs w:val="28"/>
              </w:rPr>
              <w:t>ΟΙ ΟΙΚΟΝΟΜΙΚΕΣ ΚΑΙ ΕΜΠΟΡΙΚΕΣ ΣΧΕΣΕΙΣ</w:t>
            </w:r>
          </w:p>
          <w:p w:rsidR="00AC4755" w:rsidRPr="00A61430" w:rsidRDefault="00C774B7" w:rsidP="00AC4755">
            <w:pPr>
              <w:tabs>
                <w:tab w:val="center" w:pos="1800"/>
              </w:tabs>
              <w:jc w:val="center"/>
              <w:rPr>
                <w:rFonts w:ascii="Verdana" w:hAnsi="Verdana"/>
                <w:b/>
                <w:bCs/>
                <w:smallCaps/>
                <w:color w:val="3E3E67"/>
                <w:sz w:val="28"/>
                <w:szCs w:val="28"/>
              </w:rPr>
            </w:pPr>
            <w:r>
              <w:rPr>
                <w:rFonts w:ascii="Verdana" w:hAnsi="Verdana"/>
                <w:b/>
                <w:bCs/>
                <w:smallCaps/>
                <w:color w:val="002060"/>
                <w:sz w:val="28"/>
                <w:szCs w:val="28"/>
              </w:rPr>
              <w:t>ΕΛΛΑΔΑ</w:t>
            </w:r>
            <w:r w:rsidR="00AC4755" w:rsidRPr="00A61430">
              <w:rPr>
                <w:rFonts w:ascii="Verdana" w:hAnsi="Verdana"/>
                <w:b/>
                <w:bCs/>
                <w:smallCaps/>
                <w:color w:val="002060"/>
                <w:sz w:val="28"/>
                <w:szCs w:val="28"/>
              </w:rPr>
              <w:t>Σ-</w:t>
            </w:r>
            <w:r w:rsidR="00AC4755" w:rsidRPr="00A61430">
              <w:rPr>
                <w:rFonts w:ascii="Verdana" w:hAnsi="Verdana" w:cs="Arial"/>
                <w:b/>
                <w:color w:val="002060"/>
                <w:sz w:val="28"/>
                <w:szCs w:val="28"/>
              </w:rPr>
              <w:t xml:space="preserve"> ΑΖΕΡΜΠΑΪΤΖΑΝ</w:t>
            </w:r>
          </w:p>
          <w:p w:rsidR="00AC4755" w:rsidRDefault="00AC4755" w:rsidP="00A61430">
            <w:pPr>
              <w:jc w:val="center"/>
              <w:rPr>
                <w:rFonts w:ascii="Verdana" w:hAnsi="Verdana"/>
                <w:color w:val="3E3E67"/>
              </w:rPr>
            </w:pPr>
          </w:p>
        </w:tc>
      </w:tr>
    </w:tbl>
    <w:p w:rsidR="00A36517" w:rsidRPr="00A61430" w:rsidRDefault="00A36517" w:rsidP="00A61430">
      <w:pPr>
        <w:jc w:val="center"/>
        <w:rPr>
          <w:rFonts w:ascii="Verdana" w:hAnsi="Verdana"/>
          <w:color w:val="3E3E67"/>
        </w:rPr>
      </w:pPr>
    </w:p>
    <w:p w:rsidR="00A36517" w:rsidRPr="00A61430" w:rsidRDefault="00A36517" w:rsidP="00A61430">
      <w:pPr>
        <w:tabs>
          <w:tab w:val="center" w:pos="1800"/>
        </w:tabs>
        <w:spacing w:after="0" w:line="240" w:lineRule="auto"/>
        <w:jc w:val="center"/>
        <w:rPr>
          <w:rFonts w:ascii="Verdana" w:hAnsi="Verdana"/>
          <w:b/>
          <w:bCs/>
          <w:smallCaps/>
          <w:color w:val="3E3E67"/>
        </w:rPr>
      </w:pPr>
    </w:p>
    <w:tbl>
      <w:tblPr>
        <w:tblW w:w="9555" w:type="dxa"/>
        <w:tblLook w:val="01E0" w:firstRow="1" w:lastRow="1" w:firstColumn="1" w:lastColumn="1" w:noHBand="0" w:noVBand="0"/>
      </w:tblPr>
      <w:tblGrid>
        <w:gridCol w:w="4330"/>
        <w:gridCol w:w="4055"/>
        <w:gridCol w:w="137"/>
        <w:gridCol w:w="1033"/>
      </w:tblGrid>
      <w:tr w:rsidR="00A36517" w:rsidRPr="00A61430" w:rsidTr="0023683E">
        <w:trPr>
          <w:gridAfter w:val="1"/>
          <w:wAfter w:w="1033" w:type="dxa"/>
        </w:trPr>
        <w:tc>
          <w:tcPr>
            <w:tcW w:w="4330" w:type="dxa"/>
          </w:tcPr>
          <w:p w:rsidR="00A36517" w:rsidRPr="00A61430" w:rsidRDefault="00A36517" w:rsidP="00A61430">
            <w:pPr>
              <w:tabs>
                <w:tab w:val="center" w:pos="1800"/>
              </w:tabs>
              <w:spacing w:after="0" w:line="240" w:lineRule="auto"/>
              <w:jc w:val="center"/>
              <w:rPr>
                <w:rFonts w:ascii="Verdana" w:hAnsi="Verdana"/>
                <w:b/>
                <w:bCs/>
                <w:smallCaps/>
                <w:color w:val="3E3E67"/>
              </w:rPr>
            </w:pPr>
            <w:r w:rsidRPr="00A61430">
              <w:rPr>
                <w:rFonts w:ascii="Verdana" w:hAnsi="Verdana"/>
                <w:noProof/>
                <w:lang w:val="en-US" w:eastAsia="en-US"/>
              </w:rPr>
              <w:drawing>
                <wp:inline distT="0" distB="0" distL="0" distR="0">
                  <wp:extent cx="1466850" cy="914400"/>
                  <wp:effectExtent l="19050" t="0" r="0"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preferRelativeResize="0">
                            <a:picLocks noChangeAspect="1" noChangeArrowheads="1"/>
                          </pic:cNvPicPr>
                        </pic:nvPicPr>
                        <pic:blipFill>
                          <a:blip r:embed="rId9" cstate="print"/>
                          <a:srcRect/>
                          <a:stretch>
                            <a:fillRect/>
                          </a:stretch>
                        </pic:blipFill>
                        <pic:spPr bwMode="auto">
                          <a:xfrm>
                            <a:off x="0" y="0"/>
                            <a:ext cx="1466850" cy="914400"/>
                          </a:xfrm>
                          <a:prstGeom prst="rect">
                            <a:avLst/>
                          </a:prstGeom>
                          <a:noFill/>
                          <a:ln w="9525">
                            <a:noFill/>
                            <a:miter lim="800000"/>
                            <a:headEnd/>
                            <a:tailEnd/>
                          </a:ln>
                        </pic:spPr>
                      </pic:pic>
                    </a:graphicData>
                  </a:graphic>
                </wp:inline>
              </w:drawing>
            </w:r>
          </w:p>
        </w:tc>
        <w:tc>
          <w:tcPr>
            <w:tcW w:w="4192" w:type="dxa"/>
            <w:gridSpan w:val="2"/>
          </w:tcPr>
          <w:p w:rsidR="00A36517" w:rsidRPr="00A61430" w:rsidRDefault="00EE21F9" w:rsidP="00A61430">
            <w:pPr>
              <w:tabs>
                <w:tab w:val="center" w:pos="1800"/>
              </w:tabs>
              <w:spacing w:after="0" w:line="240" w:lineRule="auto"/>
              <w:jc w:val="center"/>
              <w:rPr>
                <w:rFonts w:ascii="Verdana" w:hAnsi="Verdana"/>
                <w:b/>
                <w:bCs/>
                <w:smallCaps/>
                <w:color w:val="3E3E67"/>
              </w:rPr>
            </w:pPr>
            <w:r w:rsidRPr="00A61430">
              <w:rPr>
                <w:rFonts w:ascii="Verdana" w:hAnsi="Verdana"/>
                <w:b/>
                <w:bCs/>
                <w:smallCaps/>
                <w:noProof/>
                <w:color w:val="3E3E67"/>
                <w:lang w:val="en-US" w:eastAsia="en-US"/>
              </w:rPr>
              <w:drawing>
                <wp:inline distT="0" distB="0" distL="0" distR="0">
                  <wp:extent cx="1552575" cy="1009650"/>
                  <wp:effectExtent l="19050" t="0" r="9525" b="0"/>
                  <wp:docPr id="2" name="Picture 1" descr="180px-Flag_of_Azerbaija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Flag_of_Azerbaijan_svg"/>
                          <pic:cNvPicPr>
                            <a:picLocks noChangeAspect="1" noChangeArrowheads="1"/>
                          </pic:cNvPicPr>
                        </pic:nvPicPr>
                        <pic:blipFill>
                          <a:blip r:embed="rId10" cstate="print"/>
                          <a:srcRect/>
                          <a:stretch>
                            <a:fillRect/>
                          </a:stretch>
                        </pic:blipFill>
                        <pic:spPr bwMode="auto">
                          <a:xfrm>
                            <a:off x="0" y="0"/>
                            <a:ext cx="1553314" cy="1010130"/>
                          </a:xfrm>
                          <a:prstGeom prst="rect">
                            <a:avLst/>
                          </a:prstGeom>
                          <a:noFill/>
                          <a:ln w="9525">
                            <a:noFill/>
                            <a:miter lim="800000"/>
                            <a:headEnd/>
                            <a:tailEnd/>
                          </a:ln>
                        </pic:spPr>
                      </pic:pic>
                    </a:graphicData>
                  </a:graphic>
                </wp:inline>
              </w:drawing>
            </w:r>
          </w:p>
        </w:tc>
      </w:tr>
      <w:tr w:rsidR="00A36517" w:rsidRPr="00A61430" w:rsidTr="0023683E">
        <w:trPr>
          <w:gridAfter w:val="1"/>
          <w:wAfter w:w="1033" w:type="dxa"/>
        </w:trPr>
        <w:tc>
          <w:tcPr>
            <w:tcW w:w="8522" w:type="dxa"/>
            <w:gridSpan w:val="3"/>
          </w:tcPr>
          <w:p w:rsidR="00A36517" w:rsidRPr="00A61430" w:rsidRDefault="00A36517" w:rsidP="00A61430">
            <w:pPr>
              <w:tabs>
                <w:tab w:val="center" w:pos="1800"/>
              </w:tabs>
              <w:spacing w:after="0" w:line="240" w:lineRule="auto"/>
              <w:jc w:val="center"/>
              <w:rPr>
                <w:rFonts w:ascii="Verdana" w:hAnsi="Verdana"/>
              </w:rPr>
            </w:pPr>
          </w:p>
          <w:p w:rsidR="00A36517" w:rsidRPr="00A61430" w:rsidRDefault="00A36517" w:rsidP="00A61430">
            <w:pPr>
              <w:tabs>
                <w:tab w:val="center" w:pos="1800"/>
              </w:tabs>
              <w:spacing w:after="0" w:line="240" w:lineRule="auto"/>
              <w:jc w:val="center"/>
              <w:rPr>
                <w:rFonts w:ascii="Verdana" w:hAnsi="Verdana"/>
                <w:noProof/>
              </w:rPr>
            </w:pPr>
          </w:p>
          <w:p w:rsidR="00A36517" w:rsidRPr="00A61430" w:rsidRDefault="00553EC2" w:rsidP="00A61430">
            <w:pPr>
              <w:tabs>
                <w:tab w:val="center" w:pos="1800"/>
              </w:tabs>
              <w:spacing w:after="0" w:line="240" w:lineRule="auto"/>
              <w:jc w:val="center"/>
              <w:rPr>
                <w:rFonts w:ascii="Verdana" w:hAnsi="Verdana"/>
                <w:noProof/>
              </w:rPr>
            </w:pPr>
            <w:bookmarkStart w:id="0" w:name="_GoBack"/>
            <w:r w:rsidRPr="00A61430">
              <w:rPr>
                <w:rFonts w:ascii="Verdana" w:hAnsi="Verdana"/>
                <w:noProof/>
                <w:lang w:val="en-US" w:eastAsia="en-US"/>
              </w:rPr>
              <w:drawing>
                <wp:inline distT="0" distB="0" distL="0" distR="0">
                  <wp:extent cx="4410075" cy="3790950"/>
                  <wp:effectExtent l="19050" t="0" r="0" b="0"/>
                  <wp:docPr id="3" name="Picture 2" descr="Image result for map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azerbaijan"/>
                          <pic:cNvPicPr>
                            <a:picLocks noChangeAspect="1" noChangeArrowheads="1"/>
                          </pic:cNvPicPr>
                        </pic:nvPicPr>
                        <pic:blipFill>
                          <a:blip r:embed="rId11" cstate="print"/>
                          <a:srcRect/>
                          <a:stretch>
                            <a:fillRect/>
                          </a:stretch>
                        </pic:blipFill>
                        <pic:spPr bwMode="auto">
                          <a:xfrm>
                            <a:off x="0" y="0"/>
                            <a:ext cx="4414474" cy="3794732"/>
                          </a:xfrm>
                          <a:prstGeom prst="rect">
                            <a:avLst/>
                          </a:prstGeom>
                          <a:noFill/>
                          <a:ln w="9525">
                            <a:noFill/>
                            <a:miter lim="800000"/>
                            <a:headEnd/>
                            <a:tailEnd/>
                          </a:ln>
                        </pic:spPr>
                      </pic:pic>
                    </a:graphicData>
                  </a:graphic>
                </wp:inline>
              </w:drawing>
            </w:r>
            <w:bookmarkEnd w:id="0"/>
          </w:p>
          <w:p w:rsidR="00A36517" w:rsidRPr="00A61430" w:rsidRDefault="00A36517" w:rsidP="00A61430">
            <w:pPr>
              <w:tabs>
                <w:tab w:val="center" w:pos="1800"/>
              </w:tabs>
              <w:spacing w:after="0" w:line="240" w:lineRule="auto"/>
              <w:jc w:val="center"/>
              <w:rPr>
                <w:rFonts w:ascii="Verdana" w:hAnsi="Verdana"/>
                <w:noProof/>
              </w:rPr>
            </w:pPr>
          </w:p>
          <w:p w:rsidR="00A36517" w:rsidRPr="00A61430" w:rsidRDefault="00940646" w:rsidP="00A61430">
            <w:pPr>
              <w:tabs>
                <w:tab w:val="center" w:pos="1800"/>
              </w:tabs>
              <w:spacing w:after="0" w:line="240" w:lineRule="auto"/>
              <w:jc w:val="center"/>
              <w:rPr>
                <w:rFonts w:ascii="Verdana" w:hAnsi="Verdana"/>
                <w:noProof/>
              </w:rPr>
            </w:pPr>
            <w:r w:rsidRPr="00A61430">
              <w:rPr>
                <w:rFonts w:ascii="Verdana" w:hAnsi="Verdana"/>
                <w:noProof/>
              </w:rPr>
              <w:t>ΜΠΑΚΟΥ ΙΟΥΛ</w:t>
            </w:r>
            <w:r w:rsidR="000D24F7">
              <w:rPr>
                <w:rFonts w:ascii="Verdana" w:hAnsi="Verdana"/>
                <w:noProof/>
              </w:rPr>
              <w:t>ΙΟΣ 2020</w:t>
            </w:r>
          </w:p>
          <w:p w:rsidR="00230548" w:rsidRPr="00A61430" w:rsidRDefault="00230548" w:rsidP="00A61430">
            <w:pPr>
              <w:tabs>
                <w:tab w:val="center" w:pos="1800"/>
              </w:tabs>
              <w:spacing w:after="0" w:line="240" w:lineRule="auto"/>
              <w:jc w:val="center"/>
              <w:rPr>
                <w:rFonts w:ascii="Verdana" w:hAnsi="Verdana"/>
                <w:noProof/>
              </w:rPr>
            </w:pPr>
          </w:p>
          <w:p w:rsidR="00230548" w:rsidRPr="00A61430" w:rsidRDefault="00230548" w:rsidP="00A61430">
            <w:pPr>
              <w:tabs>
                <w:tab w:val="center" w:pos="1800"/>
              </w:tabs>
              <w:spacing w:after="0" w:line="240" w:lineRule="auto"/>
              <w:jc w:val="center"/>
              <w:rPr>
                <w:rFonts w:ascii="Verdana" w:hAnsi="Verdana"/>
                <w:noProof/>
              </w:rPr>
            </w:pPr>
            <w:r w:rsidRPr="00A61430">
              <w:rPr>
                <w:rFonts w:ascii="Verdana" w:hAnsi="Verdana"/>
                <w:noProof/>
              </w:rPr>
              <w:t>ΠΑΝΑΓΙΩΤΗΣ ΠΡΕΒΕΖΑΝΟΣ</w:t>
            </w:r>
          </w:p>
          <w:p w:rsidR="00D442C6" w:rsidRPr="00A61430" w:rsidRDefault="00D442C6" w:rsidP="00A61430">
            <w:pPr>
              <w:tabs>
                <w:tab w:val="center" w:pos="1800"/>
              </w:tabs>
              <w:spacing w:after="0" w:line="240" w:lineRule="auto"/>
              <w:jc w:val="center"/>
              <w:rPr>
                <w:rFonts w:ascii="Verdana" w:hAnsi="Verdana"/>
                <w:noProof/>
              </w:rPr>
            </w:pPr>
          </w:p>
          <w:p w:rsidR="00230548" w:rsidRDefault="00230548" w:rsidP="00A61430">
            <w:pPr>
              <w:tabs>
                <w:tab w:val="center" w:pos="1800"/>
              </w:tabs>
              <w:spacing w:after="0" w:line="240" w:lineRule="auto"/>
              <w:jc w:val="center"/>
              <w:rPr>
                <w:rFonts w:ascii="Verdana" w:hAnsi="Verdana"/>
                <w:noProof/>
              </w:rPr>
            </w:pPr>
            <w:r w:rsidRPr="00A61430">
              <w:rPr>
                <w:rFonts w:ascii="Verdana" w:hAnsi="Verdana"/>
                <w:noProof/>
              </w:rPr>
              <w:lastRenderedPageBreak/>
              <w:t>ΓΕΝ. ΣΥΜΒΟΥΛΟΣ ΟΕΥ Β’</w:t>
            </w:r>
          </w:p>
          <w:p w:rsidR="00A36517" w:rsidRPr="00A61430" w:rsidRDefault="00A36517" w:rsidP="00A61430">
            <w:pPr>
              <w:tabs>
                <w:tab w:val="center" w:pos="1800"/>
              </w:tabs>
              <w:spacing w:after="0" w:line="240" w:lineRule="auto"/>
              <w:jc w:val="center"/>
              <w:rPr>
                <w:rFonts w:ascii="Verdana" w:hAnsi="Verdana"/>
                <w:b/>
                <w:bCs/>
                <w:smallCaps/>
                <w:color w:val="3E3E67"/>
              </w:rPr>
            </w:pP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683E" w:rsidRPr="00AC4755" w:rsidRDefault="0023683E" w:rsidP="00A61430">
            <w:pPr>
              <w:jc w:val="both"/>
              <w:rPr>
                <w:rFonts w:ascii="Verdana" w:hAnsi="Verdana" w:cs="Arial"/>
                <w:b/>
                <w:sz w:val="24"/>
                <w:szCs w:val="24"/>
              </w:rPr>
            </w:pPr>
            <w:r w:rsidRPr="00AC4755">
              <w:rPr>
                <w:rFonts w:ascii="Verdana" w:hAnsi="Verdana" w:cs="Arial"/>
                <w:b/>
                <w:sz w:val="24"/>
                <w:szCs w:val="24"/>
              </w:rPr>
              <w:lastRenderedPageBreak/>
              <w:t xml:space="preserve">ΠΙΝΑΚΑΣ ΠΕΡΙΕΧΟΜΕΝΩΝ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Pr="00A61430" w:rsidRDefault="0023683E" w:rsidP="00A61430">
            <w:pPr>
              <w:jc w:val="both"/>
              <w:rPr>
                <w:rFonts w:ascii="Verdana" w:hAnsi="Verdana" w:cs="Arial"/>
                <w:b/>
              </w:rPr>
            </w:pPr>
            <w:r w:rsidRPr="00A61430">
              <w:rPr>
                <w:rFonts w:ascii="Verdana" w:hAnsi="Verdana" w:cs="Arial"/>
                <w:b/>
              </w:rPr>
              <w:t>Σελίδα</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723DA" w:rsidRPr="00A61430" w:rsidRDefault="0023683E" w:rsidP="00A61430">
            <w:pPr>
              <w:jc w:val="both"/>
              <w:rPr>
                <w:rFonts w:ascii="Verdana" w:hAnsi="Verdana" w:cs="Arial"/>
                <w:b/>
              </w:rPr>
            </w:pPr>
            <w:r w:rsidRPr="00A61430">
              <w:rPr>
                <w:rFonts w:ascii="Verdana" w:hAnsi="Verdana" w:cs="Arial"/>
                <w:b/>
                <w:u w:val="single"/>
              </w:rPr>
              <w:t>ΚΕΦΑΛΑΙΟ Α</w:t>
            </w:r>
            <w:r w:rsidRPr="00A61430">
              <w:rPr>
                <w:rFonts w:ascii="Verdana" w:hAnsi="Verdana" w:cs="Arial"/>
                <w:b/>
              </w:rPr>
              <w:t>:  ΓΕΝΙΚΑ ΣΤΟΙΧΕΙΑ</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Pr="000048A3" w:rsidRDefault="00C774B7" w:rsidP="000048A3">
            <w:pPr>
              <w:jc w:val="center"/>
              <w:rPr>
                <w:rFonts w:ascii="Verdana" w:hAnsi="Verdana" w:cs="Arial"/>
                <w:lang w:val="en-US"/>
              </w:rPr>
            </w:pPr>
            <w:r>
              <w:rPr>
                <w:rFonts w:ascii="Verdana" w:hAnsi="Verdana" w:cs="Arial"/>
                <w:lang w:val="en-US"/>
              </w:rPr>
              <w:t>1</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54C29" w:rsidRPr="00A61430" w:rsidRDefault="00863A03" w:rsidP="00A61430">
            <w:pPr>
              <w:jc w:val="both"/>
              <w:rPr>
                <w:rFonts w:ascii="Verdana" w:hAnsi="Verdana" w:cs="Arial"/>
              </w:rPr>
            </w:pPr>
            <w:r w:rsidRPr="00A61430">
              <w:rPr>
                <w:rFonts w:ascii="Verdana" w:hAnsi="Verdana" w:cs="Arial"/>
              </w:rPr>
              <w:t>1.</w:t>
            </w:r>
            <w:r w:rsidR="00C467D3" w:rsidRPr="00A61430">
              <w:rPr>
                <w:rFonts w:ascii="Verdana" w:hAnsi="Verdana" w:cs="Arial"/>
              </w:rPr>
              <w:t xml:space="preserve">  </w:t>
            </w:r>
            <w:r w:rsidR="0029640B" w:rsidRPr="00A61430">
              <w:rPr>
                <w:rFonts w:ascii="Verdana" w:hAnsi="Verdana" w:cs="Arial"/>
              </w:rPr>
              <w:t>Γεωγραφία</w:t>
            </w:r>
            <w:r w:rsidR="0023683E" w:rsidRPr="00A61430">
              <w:rPr>
                <w:rFonts w:ascii="Verdana" w:hAnsi="Verdana" w:cs="Arial"/>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Pr="000048A3" w:rsidRDefault="000048A3" w:rsidP="000048A3">
            <w:pPr>
              <w:jc w:val="center"/>
              <w:rPr>
                <w:rFonts w:ascii="Verdana" w:hAnsi="Verdana" w:cs="Arial"/>
                <w:lang w:val="en-US"/>
              </w:rPr>
            </w:pPr>
            <w:r>
              <w:rPr>
                <w:rFonts w:ascii="Verdana" w:hAnsi="Verdana" w:cs="Arial"/>
                <w:lang w:val="en-US"/>
              </w:rPr>
              <w:t>1</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54C29" w:rsidRPr="00A61430" w:rsidRDefault="00863A03" w:rsidP="00A61430">
            <w:pPr>
              <w:jc w:val="both"/>
              <w:rPr>
                <w:rFonts w:ascii="Verdana" w:hAnsi="Verdana" w:cs="Arial"/>
              </w:rPr>
            </w:pPr>
            <w:r w:rsidRPr="00A61430">
              <w:rPr>
                <w:rFonts w:ascii="Verdana" w:hAnsi="Verdana" w:cs="Arial"/>
              </w:rPr>
              <w:t>2.</w:t>
            </w:r>
            <w:r w:rsidR="00854C29" w:rsidRPr="00A61430">
              <w:rPr>
                <w:rFonts w:ascii="Verdana" w:hAnsi="Verdana" w:cs="Arial"/>
              </w:rPr>
              <w:t xml:space="preserve">  </w:t>
            </w:r>
            <w:r w:rsidR="00C774B7">
              <w:rPr>
                <w:rFonts w:ascii="Verdana" w:hAnsi="Verdana" w:cs="Arial"/>
              </w:rPr>
              <w:t>Πολιτικό Σύστημα</w:t>
            </w:r>
            <w:r w:rsidR="0023683E" w:rsidRPr="00A61430">
              <w:rPr>
                <w:rFonts w:ascii="Verdana" w:hAnsi="Verdana" w:cs="Arial"/>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Pr="000048A3" w:rsidRDefault="000048A3" w:rsidP="000048A3">
            <w:pPr>
              <w:jc w:val="center"/>
              <w:rPr>
                <w:rFonts w:ascii="Verdana" w:hAnsi="Verdana" w:cs="Arial"/>
                <w:lang w:val="en-US"/>
              </w:rPr>
            </w:pPr>
            <w:r>
              <w:rPr>
                <w:rFonts w:ascii="Verdana" w:hAnsi="Verdana" w:cs="Arial"/>
                <w:lang w:val="en-US"/>
              </w:rPr>
              <w:t>1</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54C29" w:rsidRPr="00A61430" w:rsidRDefault="00863A03" w:rsidP="00A61430">
            <w:pPr>
              <w:jc w:val="both"/>
              <w:rPr>
                <w:rFonts w:ascii="Verdana" w:hAnsi="Verdana" w:cs="Arial"/>
              </w:rPr>
            </w:pPr>
            <w:r w:rsidRPr="00A61430">
              <w:rPr>
                <w:rFonts w:ascii="Verdana" w:hAnsi="Verdana" w:cs="Arial"/>
              </w:rPr>
              <w:t>3.</w:t>
            </w:r>
            <w:r w:rsidR="00854C29" w:rsidRPr="00A61430">
              <w:rPr>
                <w:rFonts w:ascii="Verdana" w:hAnsi="Verdana" w:cs="Arial"/>
              </w:rPr>
              <w:t xml:space="preserve">  </w:t>
            </w:r>
            <w:r w:rsidR="0029640B" w:rsidRPr="00A61430">
              <w:rPr>
                <w:rFonts w:ascii="Verdana" w:hAnsi="Verdana" w:cs="Arial"/>
              </w:rPr>
              <w:t>Διοικητική οργάνωση</w:t>
            </w:r>
            <w:r w:rsidR="0023683E" w:rsidRPr="00A61430">
              <w:rPr>
                <w:rFonts w:ascii="Verdana" w:hAnsi="Verdana" w:cs="Arial"/>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Pr="000048A3" w:rsidRDefault="000048A3" w:rsidP="000048A3">
            <w:pPr>
              <w:jc w:val="center"/>
              <w:rPr>
                <w:rFonts w:ascii="Verdana" w:hAnsi="Verdana" w:cs="Arial"/>
                <w:lang w:val="en-US"/>
              </w:rPr>
            </w:pPr>
            <w:r>
              <w:rPr>
                <w:rFonts w:ascii="Verdana" w:hAnsi="Verdana" w:cs="Arial"/>
                <w:lang w:val="en-US"/>
              </w:rPr>
              <w:t>2</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683E" w:rsidRPr="00A61430" w:rsidRDefault="00863A03" w:rsidP="00A61430">
            <w:pPr>
              <w:jc w:val="both"/>
              <w:rPr>
                <w:rFonts w:ascii="Verdana" w:hAnsi="Verdana" w:cs="Arial"/>
              </w:rPr>
            </w:pPr>
            <w:r w:rsidRPr="00A61430">
              <w:rPr>
                <w:rFonts w:ascii="Verdana" w:hAnsi="Verdana" w:cs="Arial"/>
              </w:rPr>
              <w:t>4.</w:t>
            </w:r>
            <w:r w:rsidR="00854C29" w:rsidRPr="00A61430">
              <w:rPr>
                <w:rFonts w:ascii="Verdana" w:hAnsi="Verdana" w:cs="Arial"/>
              </w:rPr>
              <w:t xml:space="preserve">  </w:t>
            </w:r>
            <w:r w:rsidR="0029640B" w:rsidRPr="00A61430">
              <w:rPr>
                <w:rFonts w:ascii="Verdana" w:hAnsi="Verdana" w:cs="Arial"/>
              </w:rPr>
              <w:t>Λοιπά στοιχεία</w:t>
            </w:r>
          </w:p>
          <w:p w:rsidR="007723DA" w:rsidRPr="00A61430" w:rsidRDefault="007723DA" w:rsidP="00A61430">
            <w:pPr>
              <w:pStyle w:val="aa"/>
              <w:jc w:val="both"/>
              <w:rPr>
                <w:rFonts w:ascii="Verdana" w:hAnsi="Verdana" w:cs="Arial"/>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683E" w:rsidRPr="000048A3" w:rsidRDefault="000048A3" w:rsidP="000048A3">
            <w:pPr>
              <w:jc w:val="center"/>
              <w:rPr>
                <w:rFonts w:ascii="Verdana" w:hAnsi="Verdana" w:cs="Arial"/>
                <w:lang w:val="en-US"/>
              </w:rPr>
            </w:pPr>
            <w:r>
              <w:rPr>
                <w:rFonts w:ascii="Verdana" w:hAnsi="Verdana" w:cs="Arial"/>
                <w:lang w:val="en-US"/>
              </w:rPr>
              <w:t>2</w:t>
            </w:r>
          </w:p>
        </w:tc>
      </w:tr>
      <w:tr w:rsidR="00CB2B4F"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B2B4F" w:rsidRPr="00A61430" w:rsidRDefault="00CB2B4F" w:rsidP="00A61430">
            <w:pPr>
              <w:jc w:val="both"/>
              <w:rPr>
                <w:rFonts w:ascii="Verdana" w:hAnsi="Verdana" w:cs="Arial"/>
              </w:rPr>
            </w:pPr>
            <w:r w:rsidRPr="00A61430">
              <w:rPr>
                <w:rFonts w:ascii="Verdana" w:hAnsi="Verdana" w:cs="Arial"/>
                <w:b/>
                <w:u w:val="single"/>
              </w:rPr>
              <w:t>ΚΕΦΑΛΑΙΟ Β</w:t>
            </w:r>
            <w:r w:rsidRPr="00A61430">
              <w:rPr>
                <w:rFonts w:ascii="Verdana" w:hAnsi="Verdana" w:cs="Arial"/>
                <w:b/>
              </w:rPr>
              <w:t>:</w:t>
            </w:r>
            <w:r w:rsidRPr="00A61430">
              <w:rPr>
                <w:rFonts w:ascii="Verdana" w:hAnsi="Verdana" w:cs="Arial"/>
              </w:rPr>
              <w:t xml:space="preserve"> </w:t>
            </w:r>
            <w:r w:rsidRPr="00A61430">
              <w:rPr>
                <w:rFonts w:ascii="Verdana" w:hAnsi="Verdana" w:cs="Arial"/>
                <w:b/>
              </w:rPr>
              <w:t>ΟΙΚΟΝΟΜΙΑ ΑΖΕΡΜΠΑΪΤΖΑΝ</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B2B4F" w:rsidRPr="00C774B7" w:rsidRDefault="00C774B7" w:rsidP="000048A3">
            <w:pPr>
              <w:jc w:val="center"/>
              <w:rPr>
                <w:rFonts w:ascii="Verdana" w:hAnsi="Verdana" w:cs="Arial"/>
                <w:lang w:val="en-US"/>
              </w:rPr>
            </w:pPr>
            <w:r>
              <w:rPr>
                <w:rFonts w:ascii="Verdana" w:hAnsi="Verdana" w:cs="Arial"/>
                <w:lang w:val="en-US"/>
              </w:rPr>
              <w:t>3</w:t>
            </w:r>
          </w:p>
        </w:tc>
      </w:tr>
      <w:tr w:rsidR="00CB2B4F"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B2B4F" w:rsidRPr="00A61430" w:rsidRDefault="00863A03" w:rsidP="00A61430">
            <w:pPr>
              <w:jc w:val="both"/>
              <w:rPr>
                <w:rFonts w:ascii="Verdana" w:hAnsi="Verdana" w:cs="Arial"/>
              </w:rPr>
            </w:pPr>
            <w:r w:rsidRPr="00A61430">
              <w:rPr>
                <w:rFonts w:ascii="Verdana" w:hAnsi="Verdana" w:cs="Arial"/>
              </w:rPr>
              <w:t>1.</w:t>
            </w:r>
            <w:r w:rsidR="00CB2B4F" w:rsidRPr="00A61430">
              <w:rPr>
                <w:rFonts w:ascii="Verdana" w:hAnsi="Verdana" w:cs="Arial"/>
              </w:rPr>
              <w:t xml:space="preserve"> Βασικοί οικονομικοί δείκτες</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B2B4F" w:rsidRPr="000048A3" w:rsidRDefault="000048A3" w:rsidP="000048A3">
            <w:pPr>
              <w:jc w:val="center"/>
              <w:rPr>
                <w:rFonts w:ascii="Verdana" w:hAnsi="Verdana" w:cs="Arial"/>
                <w:lang w:val="en-US"/>
              </w:rPr>
            </w:pPr>
            <w:r>
              <w:rPr>
                <w:rFonts w:ascii="Verdana" w:hAnsi="Verdana" w:cs="Arial"/>
                <w:lang w:val="en-US"/>
              </w:rPr>
              <w:t>3</w:t>
            </w:r>
          </w:p>
        </w:tc>
      </w:tr>
      <w:tr w:rsidR="00CB2B4F"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B2B4F" w:rsidRPr="00A61430" w:rsidRDefault="00863A03" w:rsidP="00830EAD">
            <w:pPr>
              <w:jc w:val="both"/>
              <w:rPr>
                <w:rFonts w:ascii="Verdana" w:hAnsi="Verdana" w:cs="Arial"/>
              </w:rPr>
            </w:pPr>
            <w:r w:rsidRPr="00A61430">
              <w:rPr>
                <w:rFonts w:ascii="Verdana" w:hAnsi="Verdana" w:cs="Arial"/>
              </w:rPr>
              <w:t>2.</w:t>
            </w:r>
            <w:r w:rsidR="00CB2B4F" w:rsidRPr="00A61430">
              <w:rPr>
                <w:rFonts w:ascii="Verdana" w:hAnsi="Verdana" w:cs="Arial"/>
              </w:rPr>
              <w:t xml:space="preserve"> Επισκόπηση οικονομικής κατάστασης</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B2B4F" w:rsidRPr="000048A3" w:rsidRDefault="000048A3" w:rsidP="000048A3">
            <w:pPr>
              <w:jc w:val="center"/>
              <w:rPr>
                <w:rFonts w:ascii="Verdana" w:hAnsi="Verdana" w:cs="Arial"/>
                <w:lang w:val="en-US"/>
              </w:rPr>
            </w:pPr>
            <w:r>
              <w:rPr>
                <w:rFonts w:ascii="Verdana" w:hAnsi="Verdana" w:cs="Arial"/>
                <w:lang w:val="en-US"/>
              </w:rPr>
              <w:t>4</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Pr="00A61430" w:rsidRDefault="00863A03" w:rsidP="00A61430">
            <w:pPr>
              <w:ind w:left="34"/>
              <w:jc w:val="both"/>
              <w:rPr>
                <w:rFonts w:ascii="Verdana" w:hAnsi="Verdana" w:cs="Arial"/>
              </w:rPr>
            </w:pPr>
            <w:r w:rsidRPr="00A61430">
              <w:rPr>
                <w:rFonts w:ascii="Verdana" w:hAnsi="Verdana" w:cs="Arial"/>
              </w:rPr>
              <w:t>3.</w:t>
            </w:r>
            <w:r w:rsidR="00CB2B4F" w:rsidRPr="00A61430">
              <w:rPr>
                <w:rFonts w:ascii="Verdana" w:hAnsi="Verdana" w:cs="Arial"/>
              </w:rPr>
              <w:t xml:space="preserve"> </w:t>
            </w:r>
            <w:r w:rsidR="007723DA" w:rsidRPr="00A61430">
              <w:rPr>
                <w:rFonts w:ascii="Verdana" w:hAnsi="Verdana" w:cs="Arial"/>
              </w:rPr>
              <w:t>Δομή οικονομίας</w:t>
            </w:r>
          </w:p>
          <w:p w:rsidR="00573903" w:rsidRPr="00A61430" w:rsidRDefault="0043440A" w:rsidP="00A61430">
            <w:pPr>
              <w:ind w:left="34"/>
              <w:jc w:val="both"/>
              <w:rPr>
                <w:rFonts w:ascii="Verdana" w:hAnsi="Verdana" w:cs="Arial"/>
              </w:rPr>
            </w:pPr>
            <w:r w:rsidRPr="00A61430">
              <w:rPr>
                <w:rFonts w:ascii="Verdana" w:hAnsi="Verdana" w:cs="Arial"/>
              </w:rPr>
              <w:t xml:space="preserve">    </w:t>
            </w:r>
            <w:r w:rsidR="00424F0B">
              <w:rPr>
                <w:rFonts w:ascii="Verdana" w:hAnsi="Verdana" w:cs="Arial"/>
              </w:rPr>
              <w:t xml:space="preserve"> </w:t>
            </w:r>
            <w:r w:rsidR="00573903" w:rsidRPr="00A61430">
              <w:rPr>
                <w:rFonts w:ascii="Verdana" w:hAnsi="Verdana" w:cs="Arial"/>
              </w:rPr>
              <w:t>3.1 Βιομηχανικός τομέας</w:t>
            </w:r>
          </w:p>
          <w:p w:rsidR="00573903" w:rsidRPr="00A61430" w:rsidRDefault="00573903" w:rsidP="00A61430">
            <w:pPr>
              <w:ind w:left="34"/>
              <w:jc w:val="both"/>
              <w:rPr>
                <w:rFonts w:ascii="Verdana" w:hAnsi="Verdana" w:cs="Arial"/>
              </w:rPr>
            </w:pPr>
            <w:r w:rsidRPr="00A61430">
              <w:rPr>
                <w:rFonts w:ascii="Verdana" w:hAnsi="Verdana" w:cs="Arial"/>
              </w:rPr>
              <w:t xml:space="preserve">    </w:t>
            </w:r>
            <w:r w:rsidR="00424F0B">
              <w:rPr>
                <w:rFonts w:ascii="Verdana" w:hAnsi="Verdana" w:cs="Arial"/>
              </w:rPr>
              <w:t xml:space="preserve"> </w:t>
            </w:r>
            <w:r w:rsidRPr="00A61430">
              <w:rPr>
                <w:rFonts w:ascii="Verdana" w:hAnsi="Verdana" w:cs="Arial"/>
              </w:rPr>
              <w:t>3.2 Γεωργία</w:t>
            </w:r>
          </w:p>
          <w:p w:rsidR="00573903" w:rsidRDefault="00573903" w:rsidP="00A61430">
            <w:pPr>
              <w:ind w:left="34"/>
              <w:jc w:val="both"/>
              <w:rPr>
                <w:rFonts w:ascii="Verdana" w:hAnsi="Verdana" w:cs="Arial"/>
              </w:rPr>
            </w:pPr>
            <w:r w:rsidRPr="00A61430">
              <w:rPr>
                <w:rFonts w:ascii="Verdana" w:hAnsi="Verdana" w:cs="Arial"/>
              </w:rPr>
              <w:t xml:space="preserve">    </w:t>
            </w:r>
            <w:r w:rsidR="00424F0B">
              <w:rPr>
                <w:rFonts w:ascii="Verdana" w:hAnsi="Verdana" w:cs="Arial"/>
              </w:rPr>
              <w:t xml:space="preserve"> </w:t>
            </w:r>
            <w:r w:rsidRPr="00A61430">
              <w:rPr>
                <w:rFonts w:ascii="Verdana" w:hAnsi="Verdana" w:cs="Arial"/>
              </w:rPr>
              <w:t>3.3 Υπηρεσίες</w:t>
            </w:r>
          </w:p>
          <w:p w:rsidR="00273907" w:rsidRDefault="00273907" w:rsidP="00A61430">
            <w:pPr>
              <w:ind w:left="34"/>
              <w:jc w:val="both"/>
              <w:rPr>
                <w:rFonts w:ascii="Verdana" w:hAnsi="Verdana" w:cs="Arial"/>
              </w:rPr>
            </w:pPr>
            <w:r>
              <w:rPr>
                <w:rFonts w:ascii="Verdana" w:hAnsi="Verdana" w:cs="Arial"/>
              </w:rPr>
              <w:t xml:space="preserve">     3.4 Υποδομές</w:t>
            </w:r>
          </w:p>
          <w:p w:rsidR="00846EBA" w:rsidRPr="00A61430" w:rsidRDefault="00846EBA" w:rsidP="00A61430">
            <w:pPr>
              <w:ind w:left="34"/>
              <w:jc w:val="both"/>
              <w:rPr>
                <w:rFonts w:ascii="Verdana" w:hAnsi="Verdana" w:cs="Arial"/>
              </w:rPr>
            </w:pPr>
            <w:r>
              <w:rPr>
                <w:rFonts w:ascii="Verdana" w:hAnsi="Verdana" w:cs="Arial"/>
              </w:rPr>
              <w:t xml:space="preserve">     3.5 Τραπεζικό σύστημα</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Default="000048A3" w:rsidP="000048A3">
            <w:pPr>
              <w:jc w:val="center"/>
              <w:rPr>
                <w:rFonts w:ascii="Verdana" w:hAnsi="Verdana" w:cs="Arial"/>
              </w:rPr>
            </w:pPr>
            <w:r>
              <w:rPr>
                <w:rFonts w:ascii="Verdana" w:hAnsi="Verdana" w:cs="Arial"/>
                <w:lang w:val="en-US"/>
              </w:rPr>
              <w:t>6</w:t>
            </w:r>
          </w:p>
          <w:p w:rsidR="008C5872" w:rsidRDefault="008C5872" w:rsidP="000048A3">
            <w:pPr>
              <w:jc w:val="center"/>
              <w:rPr>
                <w:rFonts w:ascii="Verdana" w:hAnsi="Verdana" w:cs="Arial"/>
              </w:rPr>
            </w:pPr>
            <w:r>
              <w:rPr>
                <w:rFonts w:ascii="Verdana" w:hAnsi="Verdana" w:cs="Arial"/>
              </w:rPr>
              <w:t>6</w:t>
            </w:r>
          </w:p>
          <w:p w:rsidR="008C5872" w:rsidRDefault="008C5872" w:rsidP="000048A3">
            <w:pPr>
              <w:jc w:val="center"/>
              <w:rPr>
                <w:rFonts w:ascii="Verdana" w:hAnsi="Verdana" w:cs="Arial"/>
              </w:rPr>
            </w:pPr>
            <w:r>
              <w:rPr>
                <w:rFonts w:ascii="Verdana" w:hAnsi="Verdana" w:cs="Arial"/>
              </w:rPr>
              <w:t>9</w:t>
            </w:r>
          </w:p>
          <w:p w:rsidR="008C5872" w:rsidRDefault="008C5872" w:rsidP="000048A3">
            <w:pPr>
              <w:jc w:val="center"/>
              <w:rPr>
                <w:rFonts w:ascii="Verdana" w:hAnsi="Verdana" w:cs="Arial"/>
              </w:rPr>
            </w:pPr>
            <w:r>
              <w:rPr>
                <w:rFonts w:ascii="Verdana" w:hAnsi="Verdana" w:cs="Arial"/>
              </w:rPr>
              <w:t>10</w:t>
            </w:r>
          </w:p>
          <w:p w:rsidR="008C5872" w:rsidRDefault="008C5872" w:rsidP="000048A3">
            <w:pPr>
              <w:jc w:val="center"/>
              <w:rPr>
                <w:rFonts w:ascii="Verdana" w:hAnsi="Verdana" w:cs="Arial"/>
              </w:rPr>
            </w:pPr>
            <w:r>
              <w:rPr>
                <w:rFonts w:ascii="Verdana" w:hAnsi="Verdana" w:cs="Arial"/>
              </w:rPr>
              <w:t>11</w:t>
            </w:r>
          </w:p>
          <w:p w:rsidR="00846EBA" w:rsidRPr="00846EBA" w:rsidRDefault="008C5872" w:rsidP="008C5872">
            <w:pPr>
              <w:jc w:val="center"/>
              <w:rPr>
                <w:rFonts w:ascii="Verdana" w:hAnsi="Verdana" w:cs="Arial"/>
              </w:rPr>
            </w:pPr>
            <w:r>
              <w:rPr>
                <w:rFonts w:ascii="Verdana" w:hAnsi="Verdana" w:cs="Arial"/>
              </w:rPr>
              <w:t>14</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Default="006664FA" w:rsidP="00A61430">
            <w:pPr>
              <w:jc w:val="both"/>
              <w:rPr>
                <w:rFonts w:ascii="Verdana" w:hAnsi="Verdana" w:cs="Arial"/>
              </w:rPr>
            </w:pPr>
            <w:r>
              <w:rPr>
                <w:rFonts w:ascii="Verdana" w:hAnsi="Verdana" w:cs="Arial"/>
              </w:rPr>
              <w:t>4</w:t>
            </w:r>
            <w:r w:rsidR="00863A03" w:rsidRPr="00A61430">
              <w:rPr>
                <w:rFonts w:ascii="Verdana" w:hAnsi="Verdana" w:cs="Arial"/>
              </w:rPr>
              <w:t>.</w:t>
            </w:r>
            <w:r w:rsidR="00CB2B4F" w:rsidRPr="00A61430">
              <w:rPr>
                <w:rFonts w:ascii="Verdana" w:hAnsi="Verdana" w:cs="Arial"/>
              </w:rPr>
              <w:t xml:space="preserve"> </w:t>
            </w:r>
            <w:r w:rsidR="000048A3">
              <w:rPr>
                <w:rFonts w:ascii="Verdana" w:hAnsi="Verdana" w:cs="Arial"/>
              </w:rPr>
              <w:t xml:space="preserve">Εξωτερικές </w:t>
            </w:r>
            <w:r w:rsidR="0023683E" w:rsidRPr="00A61430">
              <w:rPr>
                <w:rFonts w:ascii="Verdana" w:hAnsi="Verdana" w:cs="Arial"/>
              </w:rPr>
              <w:t xml:space="preserve"> </w:t>
            </w:r>
            <w:r w:rsidR="000048A3">
              <w:rPr>
                <w:rFonts w:ascii="Verdana" w:hAnsi="Verdana" w:cs="Arial"/>
              </w:rPr>
              <w:t>εμπορικές συναλλαγές</w:t>
            </w:r>
          </w:p>
          <w:p w:rsidR="00E96472" w:rsidRDefault="00E96472" w:rsidP="00A61430">
            <w:pPr>
              <w:jc w:val="both"/>
              <w:rPr>
                <w:rFonts w:ascii="Verdana" w:hAnsi="Verdana" w:cs="Arial"/>
              </w:rPr>
            </w:pPr>
            <w:r>
              <w:rPr>
                <w:rFonts w:ascii="Verdana" w:hAnsi="Verdana" w:cs="Arial"/>
              </w:rPr>
              <w:t xml:space="preserve">    </w:t>
            </w:r>
            <w:r w:rsidR="00424F0B">
              <w:rPr>
                <w:rFonts w:ascii="Verdana" w:hAnsi="Verdana" w:cs="Arial"/>
              </w:rPr>
              <w:t xml:space="preserve"> </w:t>
            </w:r>
            <w:r>
              <w:rPr>
                <w:rFonts w:ascii="Verdana" w:hAnsi="Verdana" w:cs="Arial"/>
              </w:rPr>
              <w:t>4.1 Αζερικές εξαγωγές</w:t>
            </w:r>
          </w:p>
          <w:p w:rsidR="00E96472" w:rsidRPr="00A61430" w:rsidRDefault="00E96472" w:rsidP="00A61430">
            <w:pPr>
              <w:jc w:val="both"/>
              <w:rPr>
                <w:rFonts w:ascii="Verdana" w:hAnsi="Verdana" w:cs="Arial"/>
              </w:rPr>
            </w:pPr>
            <w:r>
              <w:rPr>
                <w:rFonts w:ascii="Verdana" w:hAnsi="Verdana" w:cs="Arial"/>
              </w:rPr>
              <w:t xml:space="preserve">    </w:t>
            </w:r>
            <w:r w:rsidR="00424F0B">
              <w:rPr>
                <w:rFonts w:ascii="Verdana" w:hAnsi="Verdana" w:cs="Arial"/>
              </w:rPr>
              <w:t xml:space="preserve"> </w:t>
            </w:r>
            <w:r>
              <w:rPr>
                <w:rFonts w:ascii="Verdana" w:hAnsi="Verdana" w:cs="Arial"/>
              </w:rPr>
              <w:t>4.2 Αζερικές εισαγωγές</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Default="008C5872" w:rsidP="000048A3">
            <w:pPr>
              <w:jc w:val="center"/>
              <w:rPr>
                <w:rFonts w:ascii="Verdana" w:hAnsi="Verdana" w:cs="Arial"/>
              </w:rPr>
            </w:pPr>
            <w:r>
              <w:rPr>
                <w:rFonts w:ascii="Verdana" w:hAnsi="Verdana" w:cs="Arial"/>
              </w:rPr>
              <w:t>1</w:t>
            </w:r>
            <w:r w:rsidR="00A0776D">
              <w:rPr>
                <w:rFonts w:ascii="Verdana" w:hAnsi="Verdana" w:cs="Arial"/>
              </w:rPr>
              <w:t>5</w:t>
            </w:r>
          </w:p>
          <w:p w:rsidR="008800DE" w:rsidRDefault="008800DE" w:rsidP="000048A3">
            <w:pPr>
              <w:jc w:val="center"/>
              <w:rPr>
                <w:rFonts w:ascii="Verdana" w:hAnsi="Verdana" w:cs="Arial"/>
              </w:rPr>
            </w:pPr>
            <w:r>
              <w:rPr>
                <w:rFonts w:ascii="Verdana" w:hAnsi="Verdana" w:cs="Arial"/>
              </w:rPr>
              <w:t>16</w:t>
            </w:r>
          </w:p>
          <w:p w:rsidR="008800DE" w:rsidRPr="008C5872" w:rsidRDefault="008800DE" w:rsidP="000048A3">
            <w:pPr>
              <w:jc w:val="center"/>
              <w:rPr>
                <w:rFonts w:ascii="Verdana" w:hAnsi="Verdana" w:cs="Arial"/>
              </w:rPr>
            </w:pPr>
            <w:r>
              <w:rPr>
                <w:rFonts w:ascii="Verdana" w:hAnsi="Verdana" w:cs="Arial"/>
              </w:rPr>
              <w:t>18</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Default="006664FA" w:rsidP="00A61430">
            <w:pPr>
              <w:jc w:val="both"/>
              <w:rPr>
                <w:rFonts w:ascii="Verdana" w:hAnsi="Verdana" w:cs="Arial"/>
              </w:rPr>
            </w:pPr>
            <w:r>
              <w:rPr>
                <w:rFonts w:ascii="Verdana" w:hAnsi="Verdana" w:cs="Arial"/>
              </w:rPr>
              <w:t>5</w:t>
            </w:r>
            <w:r w:rsidR="00863A03" w:rsidRPr="00A61430">
              <w:rPr>
                <w:rFonts w:ascii="Verdana" w:hAnsi="Verdana" w:cs="Arial"/>
              </w:rPr>
              <w:t>.</w:t>
            </w:r>
            <w:r w:rsidR="003B3E1B" w:rsidRPr="00A61430">
              <w:rPr>
                <w:rFonts w:ascii="Verdana" w:hAnsi="Verdana" w:cs="Arial"/>
              </w:rPr>
              <w:t xml:space="preserve"> </w:t>
            </w:r>
            <w:r w:rsidR="0023683E" w:rsidRPr="00A61430">
              <w:rPr>
                <w:rFonts w:ascii="Verdana" w:hAnsi="Verdana" w:cs="Arial"/>
              </w:rPr>
              <w:t xml:space="preserve">Επενδυτικό Περιβάλλον </w:t>
            </w:r>
          </w:p>
          <w:p w:rsidR="00424F0B" w:rsidRDefault="00424F0B" w:rsidP="00A61430">
            <w:pPr>
              <w:jc w:val="both"/>
              <w:rPr>
                <w:rFonts w:ascii="Verdana" w:hAnsi="Verdana" w:cs="Arial"/>
              </w:rPr>
            </w:pPr>
            <w:r>
              <w:rPr>
                <w:rFonts w:ascii="Verdana" w:hAnsi="Verdana" w:cs="Arial"/>
              </w:rPr>
              <w:t xml:space="preserve">     5.1 Άμεσες Ξένες Επενδύσεις</w:t>
            </w:r>
          </w:p>
          <w:p w:rsidR="00424F0B" w:rsidRPr="00A61430" w:rsidRDefault="00424F0B" w:rsidP="00A61430">
            <w:pPr>
              <w:jc w:val="both"/>
              <w:rPr>
                <w:rFonts w:ascii="Verdana" w:hAnsi="Verdana" w:cs="Arial"/>
              </w:rPr>
            </w:pPr>
            <w:r>
              <w:rPr>
                <w:rFonts w:ascii="Verdana" w:hAnsi="Verdana" w:cs="Arial"/>
              </w:rPr>
              <w:t xml:space="preserve">     5.2 Επενδυτικό περιβάλλον</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Default="005B201F" w:rsidP="000048A3">
            <w:pPr>
              <w:jc w:val="center"/>
              <w:rPr>
                <w:rFonts w:ascii="Verdana" w:hAnsi="Verdana" w:cs="Arial"/>
              </w:rPr>
            </w:pPr>
            <w:r>
              <w:rPr>
                <w:rFonts w:ascii="Verdana" w:hAnsi="Verdana" w:cs="Arial"/>
              </w:rPr>
              <w:t>20</w:t>
            </w:r>
          </w:p>
          <w:p w:rsidR="005B201F" w:rsidRDefault="005B201F" w:rsidP="000048A3">
            <w:pPr>
              <w:jc w:val="center"/>
              <w:rPr>
                <w:rFonts w:ascii="Verdana" w:hAnsi="Verdana" w:cs="Arial"/>
              </w:rPr>
            </w:pPr>
            <w:r>
              <w:rPr>
                <w:rFonts w:ascii="Verdana" w:hAnsi="Verdana" w:cs="Arial"/>
              </w:rPr>
              <w:t>20</w:t>
            </w:r>
          </w:p>
          <w:p w:rsidR="005B201F" w:rsidRPr="00A61430" w:rsidRDefault="005B201F" w:rsidP="000048A3">
            <w:pPr>
              <w:jc w:val="center"/>
              <w:rPr>
                <w:rFonts w:ascii="Verdana" w:hAnsi="Verdana" w:cs="Arial"/>
              </w:rPr>
            </w:pPr>
            <w:r>
              <w:rPr>
                <w:rFonts w:ascii="Verdana" w:hAnsi="Verdana" w:cs="Arial"/>
              </w:rPr>
              <w:t>21</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683E" w:rsidRPr="00A61430" w:rsidRDefault="00F76745" w:rsidP="00F76745">
            <w:pPr>
              <w:jc w:val="both"/>
              <w:rPr>
                <w:rFonts w:ascii="Verdana" w:hAnsi="Verdana" w:cs="Arial"/>
              </w:rPr>
            </w:pPr>
            <w:r w:rsidRPr="00A61430">
              <w:rPr>
                <w:rFonts w:ascii="Verdana" w:hAnsi="Verdana" w:cs="Arial"/>
                <w:b/>
                <w:u w:val="single"/>
              </w:rPr>
              <w:t>ΚΕΦΑΛΑΙΟ Γ:</w:t>
            </w:r>
            <w:r w:rsidRPr="00A61430">
              <w:rPr>
                <w:rFonts w:ascii="Verdana" w:hAnsi="Verdana" w:cs="Arial"/>
              </w:rPr>
              <w:t xml:space="preserve"> </w:t>
            </w:r>
            <w:r>
              <w:rPr>
                <w:rFonts w:ascii="Verdana" w:hAnsi="Verdana" w:cs="Arial"/>
                <w:b/>
              </w:rPr>
              <w:t>ΟΙΚΟΝΟΜΙΚΕΣ ΣΧΕΣΕΙΣ ΕΛΛΑΔΑ</w:t>
            </w:r>
            <w:r w:rsidRPr="00A61430">
              <w:rPr>
                <w:rFonts w:ascii="Verdana" w:hAnsi="Verdana" w:cs="Arial"/>
                <w:b/>
              </w:rPr>
              <w:t>Σ- ΑΖΕΡΜΠΑΪΤΖΑΝ</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683E" w:rsidRPr="00A61430" w:rsidRDefault="00C00E7E" w:rsidP="000048A3">
            <w:pPr>
              <w:jc w:val="center"/>
              <w:rPr>
                <w:rFonts w:ascii="Verdana" w:hAnsi="Verdana" w:cs="Arial"/>
              </w:rPr>
            </w:pPr>
            <w:r>
              <w:rPr>
                <w:rFonts w:ascii="Verdana" w:hAnsi="Verdana" w:cs="Arial"/>
              </w:rPr>
              <w:t>22</w:t>
            </w: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683E" w:rsidRPr="00A61430" w:rsidRDefault="0023683E" w:rsidP="00F76745">
            <w:pPr>
              <w:jc w:val="both"/>
              <w:rPr>
                <w:rFonts w:ascii="Verdana" w:hAnsi="Verdana" w:cs="Arial"/>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683E" w:rsidRPr="00A61430" w:rsidRDefault="0023683E" w:rsidP="000048A3">
            <w:pPr>
              <w:jc w:val="center"/>
              <w:rPr>
                <w:rFonts w:ascii="Verdana" w:hAnsi="Verdana" w:cs="Arial"/>
              </w:rPr>
            </w:pPr>
          </w:p>
        </w:tc>
      </w:tr>
      <w:tr w:rsidR="0023683E" w:rsidRPr="00A61430" w:rsidTr="0043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683E" w:rsidRPr="00A61430" w:rsidRDefault="0023683E" w:rsidP="00F76745">
            <w:pPr>
              <w:jc w:val="both"/>
              <w:rPr>
                <w:rFonts w:ascii="Verdana" w:hAnsi="Verdana" w:cs="Arial"/>
                <w:b/>
              </w:rPr>
            </w:pPr>
            <w:r w:rsidRPr="00A61430">
              <w:rPr>
                <w:rFonts w:ascii="Verdana" w:hAnsi="Verdana" w:cs="Arial"/>
                <w:b/>
                <w:u w:val="single"/>
              </w:rPr>
              <w:t>ΚΕΦΑΛΑΙΟ Δ:</w:t>
            </w:r>
            <w:r w:rsidRPr="00A61430">
              <w:rPr>
                <w:rFonts w:ascii="Verdana" w:hAnsi="Verdana" w:cs="Arial"/>
              </w:rPr>
              <w:t xml:space="preserve"> </w:t>
            </w:r>
            <w:r w:rsidRPr="00A61430">
              <w:rPr>
                <w:rFonts w:ascii="Verdana" w:hAnsi="Verdana" w:cs="Arial"/>
                <w:b/>
              </w:rPr>
              <w:t>ΧΡΗΣΙΜΕΣ ΔΙΕΥΘΥΝΣΕΙΣ</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683E" w:rsidRPr="00A61430" w:rsidRDefault="00BC22C3" w:rsidP="000048A3">
            <w:pPr>
              <w:jc w:val="center"/>
              <w:rPr>
                <w:rFonts w:ascii="Verdana" w:hAnsi="Verdana" w:cs="Arial"/>
              </w:rPr>
            </w:pPr>
            <w:r>
              <w:rPr>
                <w:rFonts w:ascii="Verdana" w:hAnsi="Verdana" w:cs="Arial"/>
              </w:rPr>
              <w:t>27</w:t>
            </w:r>
          </w:p>
        </w:tc>
      </w:tr>
    </w:tbl>
    <w:p w:rsidR="0043440A" w:rsidRPr="00A61430" w:rsidRDefault="0043440A" w:rsidP="00A61430">
      <w:pPr>
        <w:jc w:val="both"/>
        <w:rPr>
          <w:rFonts w:ascii="Verdana" w:hAnsi="Verdana"/>
        </w:rPr>
      </w:pPr>
    </w:p>
    <w:p w:rsidR="0043440A" w:rsidRPr="00A61430" w:rsidRDefault="0043440A" w:rsidP="00A61430">
      <w:pPr>
        <w:jc w:val="both"/>
        <w:rPr>
          <w:rFonts w:ascii="Verdana" w:hAnsi="Verdana"/>
        </w:rPr>
        <w:sectPr w:rsidR="0043440A" w:rsidRPr="00A61430" w:rsidSect="001D6F88">
          <w:headerReference w:type="default" r:id="rId12"/>
          <w:pgSz w:w="11906" w:h="16838"/>
          <w:pgMar w:top="1440" w:right="1800" w:bottom="1440" w:left="1800" w:header="708" w:footer="708" w:gutter="0"/>
          <w:cols w:space="708"/>
          <w:docGrid w:linePitch="360"/>
        </w:sectPr>
      </w:pPr>
    </w:p>
    <w:p w:rsidR="00775623" w:rsidRPr="00A61430" w:rsidRDefault="00775623" w:rsidP="00A61430">
      <w:pPr>
        <w:jc w:val="center"/>
        <w:rPr>
          <w:rFonts w:ascii="Verdana" w:hAnsi="Verdana"/>
          <w:b/>
          <w:color w:val="002060"/>
          <w:sz w:val="32"/>
          <w:szCs w:val="32"/>
        </w:rPr>
      </w:pPr>
      <w:bookmarkStart w:id="1" w:name="_Toc514844349"/>
      <w:r w:rsidRPr="00A61430">
        <w:rPr>
          <w:rFonts w:ascii="Verdana" w:hAnsi="Verdana"/>
          <w:b/>
          <w:color w:val="002060"/>
          <w:sz w:val="32"/>
          <w:szCs w:val="32"/>
        </w:rPr>
        <w:lastRenderedPageBreak/>
        <w:t>ΚΕΦΑΛΑΙΟ Α</w:t>
      </w:r>
      <w:r w:rsidR="00F40A22" w:rsidRPr="00A61430">
        <w:rPr>
          <w:rFonts w:ascii="Verdana" w:hAnsi="Verdana"/>
          <w:b/>
          <w:color w:val="002060"/>
          <w:sz w:val="32"/>
          <w:szCs w:val="32"/>
        </w:rPr>
        <w:t>΄</w:t>
      </w:r>
    </w:p>
    <w:p w:rsidR="00A61430" w:rsidRPr="00A61430" w:rsidRDefault="00A61430" w:rsidP="00A61430">
      <w:pPr>
        <w:jc w:val="both"/>
        <w:rPr>
          <w:rFonts w:ascii="Verdana" w:hAnsi="Verdana"/>
          <w:b/>
          <w:color w:val="002060"/>
        </w:rPr>
      </w:pPr>
    </w:p>
    <w:tbl>
      <w:tblPr>
        <w:tblStyle w:val="a9"/>
        <w:tblW w:w="0" w:type="auto"/>
        <w:shd w:val="clear" w:color="auto" w:fill="DDD9C3" w:themeFill="background2" w:themeFillShade="E6"/>
        <w:tblLook w:val="04A0" w:firstRow="1" w:lastRow="0" w:firstColumn="1" w:lastColumn="0" w:noHBand="0" w:noVBand="1"/>
      </w:tblPr>
      <w:tblGrid>
        <w:gridCol w:w="9016"/>
      </w:tblGrid>
      <w:tr w:rsidR="0043440A" w:rsidRPr="00A61430" w:rsidTr="004B6BBD">
        <w:tc>
          <w:tcPr>
            <w:tcW w:w="9242" w:type="dxa"/>
            <w:shd w:val="clear" w:color="auto" w:fill="DDD9C3" w:themeFill="background2" w:themeFillShade="E6"/>
          </w:tcPr>
          <w:p w:rsidR="0043440A" w:rsidRPr="00A61430" w:rsidRDefault="004B6BBD" w:rsidP="00A61430">
            <w:pPr>
              <w:jc w:val="center"/>
              <w:rPr>
                <w:rFonts w:ascii="Verdana" w:hAnsi="Verdana"/>
                <w:b/>
                <w:sz w:val="28"/>
                <w:szCs w:val="28"/>
              </w:rPr>
            </w:pPr>
            <w:r w:rsidRPr="00A61430">
              <w:rPr>
                <w:rFonts w:ascii="Verdana" w:hAnsi="Verdana"/>
                <w:b/>
                <w:sz w:val="28"/>
                <w:szCs w:val="28"/>
              </w:rPr>
              <w:t>ΓΕΝΙΚΑ ΣΤΟΙΧΕΙΑ</w:t>
            </w:r>
          </w:p>
        </w:tc>
      </w:tr>
    </w:tbl>
    <w:p w:rsidR="0043440A" w:rsidRPr="00A61430" w:rsidRDefault="0043440A" w:rsidP="00A61430">
      <w:pPr>
        <w:jc w:val="both"/>
        <w:rPr>
          <w:rFonts w:ascii="Verdana" w:hAnsi="Verdana"/>
          <w:b/>
          <w:color w:val="002060"/>
        </w:rPr>
      </w:pPr>
    </w:p>
    <w:p w:rsidR="00775623" w:rsidRPr="00F22295" w:rsidRDefault="00863A03" w:rsidP="00A61430">
      <w:pPr>
        <w:pStyle w:val="3"/>
        <w:numPr>
          <w:ilvl w:val="0"/>
          <w:numId w:val="0"/>
        </w:numPr>
        <w:ind w:left="720" w:hanging="720"/>
        <w:jc w:val="both"/>
        <w:rPr>
          <w:rFonts w:ascii="Verdana" w:hAnsi="Verdana"/>
          <w:color w:val="002060"/>
          <w:sz w:val="24"/>
          <w:szCs w:val="24"/>
        </w:rPr>
      </w:pPr>
      <w:bookmarkStart w:id="2" w:name="_Toc208679042"/>
      <w:bookmarkStart w:id="3" w:name="_Toc392595475"/>
      <w:r w:rsidRPr="00F22295">
        <w:rPr>
          <w:rFonts w:ascii="Verdana" w:hAnsi="Verdana"/>
          <w:color w:val="002060"/>
          <w:sz w:val="24"/>
          <w:szCs w:val="24"/>
        </w:rPr>
        <w:t>1.</w:t>
      </w:r>
      <w:r w:rsidR="00B835C5" w:rsidRPr="00F22295">
        <w:rPr>
          <w:rFonts w:ascii="Verdana" w:hAnsi="Verdana"/>
          <w:color w:val="002060"/>
          <w:sz w:val="24"/>
          <w:szCs w:val="24"/>
        </w:rPr>
        <w:t xml:space="preserve"> </w:t>
      </w:r>
      <w:r w:rsidR="00775623" w:rsidRPr="00F22295">
        <w:rPr>
          <w:rFonts w:ascii="Verdana" w:hAnsi="Verdana"/>
          <w:color w:val="002060"/>
          <w:sz w:val="24"/>
          <w:szCs w:val="24"/>
        </w:rPr>
        <w:t>ΓΕΩΓΡΑΦΙΑ</w:t>
      </w:r>
      <w:bookmarkEnd w:id="2"/>
      <w:bookmarkEnd w:id="3"/>
    </w:p>
    <w:p w:rsidR="00A11474" w:rsidRPr="00A61430" w:rsidRDefault="00A11474" w:rsidP="00A61430">
      <w:pPr>
        <w:jc w:val="both"/>
        <w:rPr>
          <w:rFonts w:ascii="Verdana" w:hAnsi="Verdana"/>
          <w:lang w:val="en-US"/>
        </w:rPr>
      </w:pPr>
    </w:p>
    <w:p w:rsidR="00775623" w:rsidRPr="00A61430" w:rsidRDefault="00775623" w:rsidP="00A61430">
      <w:pPr>
        <w:jc w:val="both"/>
        <w:rPr>
          <w:rFonts w:ascii="Verdana" w:hAnsi="Verdana"/>
        </w:rPr>
      </w:pPr>
      <w:r w:rsidRPr="00A61430">
        <w:rPr>
          <w:rFonts w:ascii="Verdana" w:hAnsi="Verdana"/>
        </w:rPr>
        <w:t>Το Αζερμπαϊτζάν συγκαταλέγεται ανάμεσα στις τρεις χώρες του Νότιου Καυκάσου και εκτείνεται κατά μήκος της δυτικής ακτής της Κασπία</w:t>
      </w:r>
      <w:r w:rsidR="00C774B7">
        <w:rPr>
          <w:rFonts w:ascii="Verdana" w:hAnsi="Verdana"/>
        </w:rPr>
        <w:t xml:space="preserve">ς Θάλασσας. Η χώρα έχει έκταση 86,6 </w:t>
      </w:r>
      <w:r w:rsidRPr="00A61430">
        <w:rPr>
          <w:rFonts w:ascii="Verdana" w:hAnsi="Verdana"/>
        </w:rPr>
        <w:t>χιλ. τετραγωνικών χιλιομέτρων (</w:t>
      </w:r>
      <w:r w:rsidR="00A34F9A">
        <w:rPr>
          <w:rFonts w:ascii="Verdana" w:hAnsi="Verdana"/>
        </w:rPr>
        <w:t>12</w:t>
      </w:r>
      <w:r w:rsidRPr="00A61430">
        <w:rPr>
          <w:rFonts w:ascii="Verdana" w:hAnsi="Verdana"/>
        </w:rPr>
        <w:t xml:space="preserve">% δάση, </w:t>
      </w:r>
      <w:r w:rsidR="00A34F9A">
        <w:rPr>
          <w:rFonts w:ascii="Verdana" w:hAnsi="Verdana"/>
        </w:rPr>
        <w:t>4,5% υδάτινες επιφάνειες, 55</w:t>
      </w:r>
      <w:r w:rsidRPr="00A61430">
        <w:rPr>
          <w:rFonts w:ascii="Verdana" w:hAnsi="Verdana"/>
        </w:rPr>
        <w:t xml:space="preserve">% αγροτικές καλλιέργειες και </w:t>
      </w:r>
      <w:r w:rsidR="00A34F9A">
        <w:rPr>
          <w:rFonts w:ascii="Verdana" w:hAnsi="Verdana"/>
        </w:rPr>
        <w:t>28,5</w:t>
      </w:r>
      <w:r w:rsidRPr="00A61430">
        <w:rPr>
          <w:rFonts w:ascii="Verdana" w:hAnsi="Verdana"/>
        </w:rPr>
        <w:t>% άλλες επιφάνειες). Μεγάλο μέρος της Κασπίας Θάλασσας ανήκει στο Αζερμπαϊτζάν. Η χώρα τοποθετείται στο γεωγραφικό μήκος 44’ και 52’ ανατολικά και 38’ και 42’ βόρεια ενώ η πρωτεύουσα</w:t>
      </w:r>
      <w:r w:rsidR="00A61430">
        <w:rPr>
          <w:rFonts w:ascii="Verdana" w:hAnsi="Verdana"/>
        </w:rPr>
        <w:t xml:space="preserve"> </w:t>
      </w:r>
      <w:r w:rsidRPr="00A61430">
        <w:rPr>
          <w:rFonts w:ascii="Verdana" w:hAnsi="Verdana"/>
        </w:rPr>
        <w:t xml:space="preserve"> Μπακού βρίσκεται στον 40</w:t>
      </w:r>
      <w:r w:rsidRPr="00A61430">
        <w:rPr>
          <w:rFonts w:ascii="Verdana" w:hAnsi="Verdana"/>
          <w:vertAlign w:val="superscript"/>
        </w:rPr>
        <w:t>ο</w:t>
      </w:r>
      <w:r w:rsidRPr="00A61430">
        <w:rPr>
          <w:rFonts w:ascii="Verdana" w:hAnsi="Verdana"/>
        </w:rPr>
        <w:t xml:space="preserve"> παράλληλο.</w:t>
      </w:r>
    </w:p>
    <w:p w:rsidR="00775623" w:rsidRPr="00AC4755" w:rsidRDefault="00775623" w:rsidP="00A61430">
      <w:pPr>
        <w:jc w:val="both"/>
        <w:rPr>
          <w:rFonts w:ascii="Verdana" w:hAnsi="Verdana"/>
        </w:rPr>
      </w:pPr>
      <w:r w:rsidRPr="00A61430">
        <w:rPr>
          <w:rFonts w:ascii="Verdana" w:hAnsi="Verdana"/>
        </w:rPr>
        <w:t xml:space="preserve">Το Αζερμπαϊτζάν συνορεύει νότια με το Ιράν (765 </w:t>
      </w:r>
      <w:proofErr w:type="spellStart"/>
      <w:r w:rsidRPr="00A61430">
        <w:rPr>
          <w:rFonts w:ascii="Verdana" w:hAnsi="Verdana"/>
        </w:rPr>
        <w:t>χλμ</w:t>
      </w:r>
      <w:proofErr w:type="spellEnd"/>
      <w:r w:rsidRPr="00A61430">
        <w:rPr>
          <w:rFonts w:ascii="Verdana" w:hAnsi="Verdana"/>
        </w:rPr>
        <w:t xml:space="preserve"> συνοριακή γραμμή), βόρεια με τη Ρωσία (390 </w:t>
      </w:r>
      <w:proofErr w:type="spellStart"/>
      <w:r w:rsidRPr="00A61430">
        <w:rPr>
          <w:rFonts w:ascii="Verdana" w:hAnsi="Verdana"/>
        </w:rPr>
        <w:t>χλμ</w:t>
      </w:r>
      <w:proofErr w:type="spellEnd"/>
      <w:r w:rsidRPr="00A61430">
        <w:rPr>
          <w:rFonts w:ascii="Verdana" w:hAnsi="Verdana"/>
        </w:rPr>
        <w:t xml:space="preserve">), βορειοδυτικά με τη Γεωργία (480 </w:t>
      </w:r>
      <w:proofErr w:type="spellStart"/>
      <w:r w:rsidRPr="00A61430">
        <w:rPr>
          <w:rFonts w:ascii="Verdana" w:hAnsi="Verdana"/>
        </w:rPr>
        <w:t>χλμ</w:t>
      </w:r>
      <w:proofErr w:type="spellEnd"/>
      <w:r w:rsidRPr="00A61430">
        <w:rPr>
          <w:rFonts w:ascii="Verdana" w:hAnsi="Verdana"/>
        </w:rPr>
        <w:t xml:space="preserve">) και δυτικά με την Αρμενία (1.007 </w:t>
      </w:r>
      <w:proofErr w:type="spellStart"/>
      <w:r w:rsidRPr="00A61430">
        <w:rPr>
          <w:rFonts w:ascii="Verdana" w:hAnsi="Verdana"/>
        </w:rPr>
        <w:t>χλμ</w:t>
      </w:r>
      <w:proofErr w:type="spellEnd"/>
      <w:r w:rsidRPr="00A61430">
        <w:rPr>
          <w:rFonts w:ascii="Verdana" w:hAnsi="Verdana"/>
        </w:rPr>
        <w:t xml:space="preserve">) και -μόνον ο θύλακας Ναχιτσεβάν- με την Τουρκία (10 </w:t>
      </w:r>
      <w:proofErr w:type="spellStart"/>
      <w:r w:rsidRPr="00A61430">
        <w:rPr>
          <w:rFonts w:ascii="Verdana" w:hAnsi="Verdana"/>
        </w:rPr>
        <w:t>χλμ</w:t>
      </w:r>
      <w:proofErr w:type="spellEnd"/>
      <w:r w:rsidRPr="00A61430">
        <w:rPr>
          <w:rFonts w:ascii="Verdana" w:hAnsi="Verdana"/>
        </w:rPr>
        <w:t>).</w:t>
      </w:r>
    </w:p>
    <w:p w:rsidR="00A11474" w:rsidRPr="00A61430" w:rsidRDefault="002C438D" w:rsidP="00A61430">
      <w:pPr>
        <w:jc w:val="both"/>
        <w:rPr>
          <w:rFonts w:ascii="Verdana" w:hAnsi="Verdana"/>
          <w:color w:val="002060"/>
        </w:rPr>
      </w:pPr>
      <w:r w:rsidRPr="00A61430">
        <w:rPr>
          <w:rFonts w:ascii="Verdana" w:hAnsi="Verdana"/>
        </w:rPr>
        <w:t xml:space="preserve">Στο </w:t>
      </w:r>
      <w:bookmarkStart w:id="4" w:name="_Toc208679043"/>
      <w:bookmarkStart w:id="5" w:name="_Toc392595476"/>
      <w:r w:rsidRPr="00A61430">
        <w:rPr>
          <w:rFonts w:ascii="Verdana" w:hAnsi="Verdana"/>
        </w:rPr>
        <w:t xml:space="preserve">Αζερμπαϊτζάν παρατηρούνται 9 από τις </w:t>
      </w:r>
      <w:r w:rsidR="00BB39FA">
        <w:rPr>
          <w:rFonts w:ascii="Verdana" w:hAnsi="Verdana"/>
        </w:rPr>
        <w:t xml:space="preserve">11 </w:t>
      </w:r>
      <w:r w:rsidRPr="00A61430">
        <w:rPr>
          <w:rFonts w:ascii="Verdana" w:hAnsi="Verdana"/>
        </w:rPr>
        <w:t xml:space="preserve">υπάρχουσες κλιματικές ζώνες του πλανήτη, έχοντας στο βορά την οροσειρά του Καυκάσου με </w:t>
      </w:r>
      <w:r w:rsidR="00B7100C">
        <w:rPr>
          <w:rFonts w:ascii="Verdana" w:hAnsi="Verdana"/>
        </w:rPr>
        <w:t>αλπικό</w:t>
      </w:r>
      <w:r w:rsidRPr="00A61430">
        <w:rPr>
          <w:rFonts w:ascii="Verdana" w:hAnsi="Verdana"/>
        </w:rPr>
        <w:t xml:space="preserve"> κλίμα, ενδιάμεσα ηπειρωτικές κλιματολογικές συνθήκες, στ</w:t>
      </w:r>
      <w:r w:rsidR="00BB39FA">
        <w:rPr>
          <w:rFonts w:ascii="Verdana" w:hAnsi="Verdana"/>
        </w:rPr>
        <w:t>έ</w:t>
      </w:r>
      <w:r w:rsidRPr="00A61430">
        <w:rPr>
          <w:rFonts w:ascii="Verdana" w:hAnsi="Verdana"/>
        </w:rPr>
        <w:t xml:space="preserve">πες, ερήμους, εύκρατη ζώνη στα παράλια της Κασπίας και καταλήγοντας στο νότο, όπου επικρατούν υποτροπικές συνθήκες. </w:t>
      </w:r>
    </w:p>
    <w:p w:rsidR="00BB39FA" w:rsidRDefault="00BB39FA" w:rsidP="00A61430">
      <w:pPr>
        <w:pStyle w:val="2"/>
        <w:numPr>
          <w:ilvl w:val="0"/>
          <w:numId w:val="0"/>
        </w:numPr>
        <w:jc w:val="both"/>
        <w:rPr>
          <w:rFonts w:ascii="Verdana" w:hAnsi="Verdana"/>
          <w:color w:val="002060"/>
          <w:sz w:val="22"/>
          <w:szCs w:val="22"/>
        </w:rPr>
      </w:pPr>
    </w:p>
    <w:p w:rsidR="00775623" w:rsidRPr="00F22295" w:rsidRDefault="00573903" w:rsidP="00A61430">
      <w:pPr>
        <w:pStyle w:val="2"/>
        <w:numPr>
          <w:ilvl w:val="0"/>
          <w:numId w:val="0"/>
        </w:numPr>
        <w:jc w:val="both"/>
        <w:rPr>
          <w:rFonts w:ascii="Verdana" w:hAnsi="Verdana"/>
          <w:color w:val="002060"/>
          <w:sz w:val="24"/>
          <w:szCs w:val="24"/>
        </w:rPr>
      </w:pPr>
      <w:r w:rsidRPr="00F22295">
        <w:rPr>
          <w:rFonts w:ascii="Verdana" w:hAnsi="Verdana"/>
          <w:color w:val="002060"/>
          <w:sz w:val="24"/>
          <w:szCs w:val="24"/>
        </w:rPr>
        <w:t xml:space="preserve">2. </w:t>
      </w:r>
      <w:r w:rsidR="00775623" w:rsidRPr="00F22295">
        <w:rPr>
          <w:rFonts w:ascii="Verdana" w:hAnsi="Verdana"/>
          <w:color w:val="002060"/>
          <w:sz w:val="24"/>
          <w:szCs w:val="24"/>
        </w:rPr>
        <w:t>ΠΟΛΙΤΙΚΟ ΣΥΣΤΗΜΑ</w:t>
      </w:r>
      <w:bookmarkEnd w:id="4"/>
      <w:bookmarkEnd w:id="5"/>
    </w:p>
    <w:p w:rsidR="00A11474" w:rsidRPr="00A61430" w:rsidRDefault="00A11474" w:rsidP="00A61430">
      <w:pPr>
        <w:jc w:val="both"/>
        <w:rPr>
          <w:rFonts w:ascii="Verdana" w:hAnsi="Verdana"/>
        </w:rPr>
      </w:pPr>
    </w:p>
    <w:p w:rsidR="00775623" w:rsidRPr="00A61430" w:rsidRDefault="00775623" w:rsidP="00A61430">
      <w:pPr>
        <w:jc w:val="both"/>
        <w:rPr>
          <w:rFonts w:ascii="Verdana" w:hAnsi="Verdana"/>
        </w:rPr>
      </w:pPr>
      <w:r w:rsidRPr="00A61430">
        <w:rPr>
          <w:rFonts w:ascii="Verdana" w:hAnsi="Verdana"/>
        </w:rPr>
        <w:t>Στη Δημοκρατία του Αζερμπαϊτζάν υφίστανται τρεις μορφές εξουσίας:</w:t>
      </w:r>
    </w:p>
    <w:p w:rsidR="00775623" w:rsidRPr="00A61430" w:rsidRDefault="00775623" w:rsidP="00A61430">
      <w:pPr>
        <w:jc w:val="both"/>
        <w:rPr>
          <w:rFonts w:ascii="Verdana" w:hAnsi="Verdana"/>
        </w:rPr>
      </w:pPr>
      <w:r w:rsidRPr="00A61430">
        <w:rPr>
          <w:rFonts w:ascii="Verdana" w:hAnsi="Verdana"/>
        </w:rPr>
        <w:t xml:space="preserve"> -  Εκτελεστική, η οποία ασκείται από τον Πρόεδρο </w:t>
      </w:r>
      <w:r w:rsidRPr="00A61430">
        <w:rPr>
          <w:rFonts w:ascii="Verdana" w:hAnsi="Verdana"/>
          <w:iCs/>
        </w:rPr>
        <w:t xml:space="preserve">κ. </w:t>
      </w:r>
      <w:proofErr w:type="spellStart"/>
      <w:r w:rsidRPr="00A61430">
        <w:rPr>
          <w:rFonts w:ascii="Verdana" w:hAnsi="Verdana"/>
          <w:iCs/>
        </w:rPr>
        <w:t>Ιλχάμ</w:t>
      </w:r>
      <w:proofErr w:type="spellEnd"/>
      <w:r w:rsidRPr="00A61430">
        <w:rPr>
          <w:rFonts w:ascii="Verdana" w:hAnsi="Verdana"/>
          <w:iCs/>
        </w:rPr>
        <w:t xml:space="preserve"> Αλίγιεφ ο οποίος κυβερνά συνεχώς από  το 2003 (το 2018 και μετά από σχετική τροποποίηση του Συντάγματος, ο κ. Αλίγιεφ εξελέγη για τέταρτη συνεχόμενη θητεία, αυτή τη φορά επταετή και επομένως θα παραμείνει ως το 2025</w:t>
      </w:r>
      <w:r w:rsidRPr="00A61430">
        <w:rPr>
          <w:rFonts w:ascii="Verdana" w:hAnsi="Verdana"/>
        </w:rPr>
        <w:t>).</w:t>
      </w:r>
    </w:p>
    <w:p w:rsidR="00775623" w:rsidRPr="00A61430" w:rsidRDefault="00775623" w:rsidP="00A61430">
      <w:pPr>
        <w:jc w:val="both"/>
        <w:rPr>
          <w:rFonts w:ascii="Verdana" w:hAnsi="Verdana"/>
        </w:rPr>
      </w:pPr>
      <w:r w:rsidRPr="00A61430">
        <w:rPr>
          <w:rFonts w:ascii="Verdana" w:hAnsi="Verdana"/>
        </w:rPr>
        <w:t xml:space="preserve"> -  Νομοθετική, η οποία ασκείται από το Κοινοβούλιο με 125 βουλευτές</w:t>
      </w:r>
    </w:p>
    <w:p w:rsidR="00775623" w:rsidRPr="00A61430" w:rsidRDefault="00B835C5" w:rsidP="00A61430">
      <w:pPr>
        <w:jc w:val="both"/>
        <w:rPr>
          <w:rFonts w:ascii="Verdana" w:hAnsi="Verdana"/>
        </w:rPr>
      </w:pPr>
      <w:r w:rsidRPr="00A61430">
        <w:rPr>
          <w:rFonts w:ascii="Verdana" w:hAnsi="Verdana"/>
        </w:rPr>
        <w:t xml:space="preserve"> - </w:t>
      </w:r>
      <w:r w:rsidR="00775623" w:rsidRPr="00A61430">
        <w:rPr>
          <w:rFonts w:ascii="Verdana" w:hAnsi="Verdana"/>
        </w:rPr>
        <w:t xml:space="preserve">Δικαστική, η οποία στο υψηλότερο επίπεδο ασκείται από το Ανώτατο Δικαστήριο. </w:t>
      </w:r>
    </w:p>
    <w:p w:rsidR="00AC4755" w:rsidRPr="00B7100C" w:rsidRDefault="00AC4755" w:rsidP="00AC4755">
      <w:bookmarkStart w:id="6" w:name="_Toc208679044"/>
      <w:bookmarkStart w:id="7" w:name="_Toc392595477"/>
    </w:p>
    <w:p w:rsidR="00775623" w:rsidRPr="00F22295" w:rsidRDefault="00573903" w:rsidP="00A61430">
      <w:pPr>
        <w:pStyle w:val="2"/>
        <w:numPr>
          <w:ilvl w:val="0"/>
          <w:numId w:val="0"/>
        </w:numPr>
        <w:ind w:left="576" w:hanging="576"/>
        <w:jc w:val="both"/>
        <w:rPr>
          <w:rFonts w:ascii="Verdana" w:hAnsi="Verdana"/>
          <w:color w:val="002060"/>
          <w:sz w:val="24"/>
          <w:szCs w:val="24"/>
        </w:rPr>
      </w:pPr>
      <w:r w:rsidRPr="00F22295">
        <w:rPr>
          <w:rFonts w:ascii="Verdana" w:hAnsi="Verdana"/>
          <w:color w:val="002060"/>
          <w:sz w:val="24"/>
          <w:szCs w:val="24"/>
        </w:rPr>
        <w:lastRenderedPageBreak/>
        <w:t xml:space="preserve">3. </w:t>
      </w:r>
      <w:r w:rsidR="00775623" w:rsidRPr="00F22295">
        <w:rPr>
          <w:rFonts w:ascii="Verdana" w:hAnsi="Verdana"/>
          <w:color w:val="002060"/>
          <w:sz w:val="24"/>
          <w:szCs w:val="24"/>
        </w:rPr>
        <w:t>ΔΙΟΙΚΗΤΙΚΗ ΟΡΓΑΝΩΣΗ ΚΑΙ ΔΗΜΟΓΡΑΦΙΚΑ ΣΤΟΙΧΕΙΑ</w:t>
      </w:r>
      <w:bookmarkEnd w:id="6"/>
      <w:bookmarkEnd w:id="7"/>
    </w:p>
    <w:p w:rsidR="00A11474" w:rsidRPr="00A61430" w:rsidRDefault="00A11474" w:rsidP="00A61430">
      <w:pPr>
        <w:jc w:val="both"/>
        <w:rPr>
          <w:rFonts w:ascii="Verdana" w:hAnsi="Verdana"/>
        </w:rPr>
      </w:pPr>
    </w:p>
    <w:p w:rsidR="004B6BBD" w:rsidRPr="00A61430" w:rsidRDefault="00775623" w:rsidP="00A61430">
      <w:pPr>
        <w:jc w:val="both"/>
        <w:rPr>
          <w:rFonts w:ascii="Verdana" w:hAnsi="Verdana"/>
        </w:rPr>
      </w:pPr>
      <w:r w:rsidRPr="00A61430">
        <w:rPr>
          <w:rFonts w:ascii="Verdana" w:hAnsi="Verdana"/>
        </w:rPr>
        <w:t>Ο πληθυσμός της χώρας (</w:t>
      </w:r>
      <w:r w:rsidRPr="00A61430">
        <w:rPr>
          <w:rFonts w:ascii="Verdana" w:hAnsi="Verdana"/>
          <w:i/>
          <w:iCs/>
        </w:rPr>
        <w:t xml:space="preserve">περί τα </w:t>
      </w:r>
      <w:r w:rsidR="00F40A22" w:rsidRPr="00A61430">
        <w:rPr>
          <w:rFonts w:ascii="Verdana" w:hAnsi="Verdana"/>
          <w:i/>
          <w:iCs/>
        </w:rPr>
        <w:t>10 εκατ.</w:t>
      </w:r>
      <w:r w:rsidRPr="00A61430">
        <w:rPr>
          <w:rFonts w:ascii="Verdana" w:hAnsi="Verdana"/>
          <w:i/>
          <w:iCs/>
        </w:rPr>
        <w:t xml:space="preserve"> στα </w:t>
      </w:r>
      <w:r w:rsidR="00F40A22" w:rsidRPr="00A61430">
        <w:rPr>
          <w:rFonts w:ascii="Verdana" w:hAnsi="Verdana"/>
          <w:i/>
          <w:iCs/>
        </w:rPr>
        <w:t>τέλη</w:t>
      </w:r>
      <w:r w:rsidRPr="00A61430">
        <w:rPr>
          <w:rFonts w:ascii="Verdana" w:hAnsi="Verdana"/>
          <w:i/>
          <w:iCs/>
        </w:rPr>
        <w:t xml:space="preserve"> του 201</w:t>
      </w:r>
      <w:r w:rsidR="0029230C" w:rsidRPr="0029230C">
        <w:rPr>
          <w:rFonts w:ascii="Verdana" w:hAnsi="Verdana"/>
          <w:i/>
          <w:iCs/>
        </w:rPr>
        <w:t>9</w:t>
      </w:r>
      <w:r w:rsidRPr="00A61430">
        <w:rPr>
          <w:rFonts w:ascii="Verdana" w:hAnsi="Verdana"/>
        </w:rPr>
        <w:t>)</w:t>
      </w:r>
      <w:r w:rsidRPr="00A61430">
        <w:rPr>
          <w:rFonts w:ascii="Verdana" w:hAnsi="Verdana"/>
          <w:b/>
          <w:bCs/>
          <w:color w:val="FF0000"/>
        </w:rPr>
        <w:t xml:space="preserve"> </w:t>
      </w:r>
      <w:r w:rsidRPr="00A61430">
        <w:rPr>
          <w:rFonts w:ascii="Verdana" w:hAnsi="Verdana"/>
        </w:rPr>
        <w:t xml:space="preserve">κατανέμεται σε αστικό και αγροτικό πληθυσμό. Οι αστικές περιοχές περιλαμβάνουν τις πόλεις και τους οικισμούς, οι υπόλοιπες θεωρούνται αγροτικές περιοχές. Το Αζερμπαϊτζάν διοικητικά αποτελείται από: 78 πόλεις, 14 περιφέρειες πόλεων, 10 οικονομικές περιοχές, 66 περιφέρειες, 257 οικισμούς, 4.255 αγροτικούς οικισμούς και την αυτόνομη Δημοκρατία του Ναχιτσεβάν. </w:t>
      </w:r>
      <w:r w:rsidR="00AF34A6" w:rsidRPr="00A61430">
        <w:rPr>
          <w:rFonts w:ascii="Verdana" w:hAnsi="Verdana"/>
        </w:rPr>
        <w:t>Πολιτικό, οικονομικό και βιομηχανικό κέντρο της χώρας είναι η π</w:t>
      </w:r>
      <w:r w:rsidRPr="00A61430">
        <w:rPr>
          <w:rFonts w:ascii="Verdana" w:hAnsi="Verdana"/>
        </w:rPr>
        <w:t>ρωτεύουσα Μπακού, με πληθυσμό άνω των 3,5 εκατομμυρίων.</w:t>
      </w:r>
      <w:r w:rsidR="004B6BBD" w:rsidRPr="00A61430">
        <w:rPr>
          <w:rFonts w:ascii="Verdana" w:hAnsi="Verdana"/>
        </w:rPr>
        <w:t xml:space="preserve"> Άλλες μεγάλες πόλεις είναι  η</w:t>
      </w:r>
      <w:r w:rsidR="00B326EE" w:rsidRPr="00A61430">
        <w:rPr>
          <w:rFonts w:ascii="Verdana" w:hAnsi="Verdana"/>
        </w:rPr>
        <w:t xml:space="preserve"> </w:t>
      </w:r>
      <w:r w:rsidR="00B326EE" w:rsidRPr="00A61430">
        <w:rPr>
          <w:rFonts w:ascii="Verdana" w:hAnsi="Verdana"/>
          <w:lang w:val="en-US"/>
        </w:rPr>
        <w:t>Ganja</w:t>
      </w:r>
      <w:r w:rsidR="00AF34A6" w:rsidRPr="00A61430">
        <w:rPr>
          <w:rFonts w:ascii="Verdana" w:hAnsi="Verdana"/>
        </w:rPr>
        <w:t>,</w:t>
      </w:r>
      <w:r w:rsidR="004B6BBD" w:rsidRPr="00A61430">
        <w:rPr>
          <w:rFonts w:ascii="Verdana" w:hAnsi="Verdana"/>
        </w:rPr>
        <w:t xml:space="preserve"> </w:t>
      </w:r>
      <w:r w:rsidR="00AF34A6" w:rsidRPr="00A61430">
        <w:rPr>
          <w:rFonts w:ascii="Verdana" w:hAnsi="Verdana"/>
        </w:rPr>
        <w:t xml:space="preserve">βιομηχανικό και αγροτικό κέντρο </w:t>
      </w:r>
      <w:r w:rsidR="004B6BBD" w:rsidRPr="00A61430">
        <w:rPr>
          <w:rFonts w:ascii="Verdana" w:hAnsi="Verdana"/>
        </w:rPr>
        <w:t xml:space="preserve">στο δυτικό </w:t>
      </w:r>
      <w:r w:rsidR="00A34F9A" w:rsidRPr="00A61430">
        <w:rPr>
          <w:rFonts w:ascii="Verdana" w:hAnsi="Verdana"/>
        </w:rPr>
        <w:t>Αζερμπαϊτζάν</w:t>
      </w:r>
      <w:r w:rsidR="004B6BBD" w:rsidRPr="00A61430">
        <w:rPr>
          <w:rFonts w:ascii="Verdana" w:hAnsi="Verdana"/>
        </w:rPr>
        <w:t xml:space="preserve"> </w:t>
      </w:r>
      <w:r w:rsidR="00AF34A6" w:rsidRPr="00A61430">
        <w:rPr>
          <w:rFonts w:ascii="Verdana" w:hAnsi="Verdana"/>
        </w:rPr>
        <w:t xml:space="preserve">με </w:t>
      </w:r>
      <w:r w:rsidR="00B326EE" w:rsidRPr="00A61430">
        <w:rPr>
          <w:rFonts w:ascii="Verdana" w:hAnsi="Verdana"/>
        </w:rPr>
        <w:t>313.000</w:t>
      </w:r>
      <w:r w:rsidR="00AF34A6" w:rsidRPr="00A61430">
        <w:rPr>
          <w:rFonts w:ascii="Verdana" w:hAnsi="Verdana"/>
        </w:rPr>
        <w:t xml:space="preserve"> κατοίκους</w:t>
      </w:r>
      <w:r w:rsidR="004B6BBD" w:rsidRPr="00A61430">
        <w:rPr>
          <w:rFonts w:ascii="Verdana" w:hAnsi="Verdana"/>
        </w:rPr>
        <w:t>,</w:t>
      </w:r>
      <w:r w:rsidR="00AF34A6" w:rsidRPr="00A61430">
        <w:rPr>
          <w:rFonts w:ascii="Verdana" w:hAnsi="Verdana"/>
        </w:rPr>
        <w:t xml:space="preserve"> το </w:t>
      </w:r>
      <w:proofErr w:type="spellStart"/>
      <w:r w:rsidR="00B326EE" w:rsidRPr="00A61430">
        <w:rPr>
          <w:rFonts w:ascii="Verdana" w:hAnsi="Verdana"/>
          <w:lang w:val="en-US"/>
        </w:rPr>
        <w:t>Sumgayit</w:t>
      </w:r>
      <w:proofErr w:type="spellEnd"/>
      <w:r w:rsidR="00B326EE" w:rsidRPr="00A61430">
        <w:rPr>
          <w:rFonts w:ascii="Verdana" w:hAnsi="Verdana"/>
        </w:rPr>
        <w:t xml:space="preserve"> </w:t>
      </w:r>
      <w:r w:rsidR="00AF34A6" w:rsidRPr="00A61430">
        <w:rPr>
          <w:rFonts w:ascii="Verdana" w:hAnsi="Verdana"/>
        </w:rPr>
        <w:t xml:space="preserve">με </w:t>
      </w:r>
      <w:r w:rsidR="00B326EE" w:rsidRPr="00A61430">
        <w:rPr>
          <w:rFonts w:ascii="Verdana" w:hAnsi="Verdana"/>
        </w:rPr>
        <w:t>265.000</w:t>
      </w:r>
      <w:r w:rsidR="00AF34A6" w:rsidRPr="00A61430">
        <w:rPr>
          <w:rFonts w:ascii="Verdana" w:hAnsi="Verdana"/>
        </w:rPr>
        <w:t xml:space="preserve"> κατοίκους, το δεύτερο μεγαλύτερο βιομηχανικό κέντρο της χώρας, μετά το Μπακού, με έμφαση στην μεταλλουργία, χημική βιομηχανία και στα πετρελαιοειδή, και το </w:t>
      </w:r>
      <w:r w:rsidR="00B326EE" w:rsidRPr="00A61430">
        <w:rPr>
          <w:rFonts w:ascii="Verdana" w:hAnsi="Verdana"/>
        </w:rPr>
        <w:t xml:space="preserve"> </w:t>
      </w:r>
      <w:proofErr w:type="spellStart"/>
      <w:r w:rsidR="00B326EE" w:rsidRPr="00A61430">
        <w:rPr>
          <w:rFonts w:ascii="Verdana" w:hAnsi="Verdana"/>
          <w:lang w:val="en-US"/>
        </w:rPr>
        <w:t>Lankaran</w:t>
      </w:r>
      <w:proofErr w:type="spellEnd"/>
      <w:r w:rsidR="00B326EE" w:rsidRPr="00A61430">
        <w:rPr>
          <w:rFonts w:ascii="Verdana" w:hAnsi="Verdana"/>
        </w:rPr>
        <w:t xml:space="preserve"> </w:t>
      </w:r>
      <w:r w:rsidR="00AF34A6" w:rsidRPr="00A61430">
        <w:rPr>
          <w:rFonts w:ascii="Verdana" w:hAnsi="Verdana"/>
        </w:rPr>
        <w:t xml:space="preserve">με </w:t>
      </w:r>
      <w:r w:rsidR="00B326EE" w:rsidRPr="00A61430">
        <w:rPr>
          <w:rFonts w:ascii="Verdana" w:hAnsi="Verdana"/>
        </w:rPr>
        <w:t>240.000</w:t>
      </w:r>
      <w:r w:rsidR="00AF34A6" w:rsidRPr="00A61430">
        <w:rPr>
          <w:rFonts w:ascii="Verdana" w:hAnsi="Verdana"/>
        </w:rPr>
        <w:t xml:space="preserve"> κατοίκους, αγροτικό κέντρο  στο νότο της χ</w:t>
      </w:r>
      <w:r w:rsidR="00F22295">
        <w:rPr>
          <w:rFonts w:ascii="Verdana" w:hAnsi="Verdana"/>
        </w:rPr>
        <w:t>ώρας.</w:t>
      </w:r>
      <w:r w:rsidR="00B326EE" w:rsidRPr="00A61430">
        <w:rPr>
          <w:rFonts w:ascii="Verdana" w:hAnsi="Verdana"/>
        </w:rPr>
        <w:t xml:space="preserve"> </w:t>
      </w:r>
    </w:p>
    <w:p w:rsidR="00775623" w:rsidRPr="00A61430" w:rsidRDefault="00775623" w:rsidP="00A61430">
      <w:pPr>
        <w:jc w:val="both"/>
        <w:rPr>
          <w:rFonts w:ascii="Verdana" w:hAnsi="Verdana"/>
          <w:color w:val="FF0000"/>
        </w:rPr>
      </w:pPr>
      <w:r w:rsidRPr="00A61430">
        <w:rPr>
          <w:rFonts w:ascii="Verdana" w:hAnsi="Verdana"/>
        </w:rPr>
        <w:t xml:space="preserve">Το ποσοστό του αστικού πληθυσμού είναι περίπου 54% επί του συνολικού πληθυσμού και του αγροτικού 46%. Ο </w:t>
      </w:r>
      <w:r w:rsidRPr="00A61430">
        <w:rPr>
          <w:rFonts w:ascii="Verdana" w:hAnsi="Verdana"/>
          <w:i/>
          <w:iCs/>
        </w:rPr>
        <w:t>οικονομικά ενεργός πληθυσμός</w:t>
      </w:r>
      <w:r w:rsidRPr="00A61430">
        <w:rPr>
          <w:rFonts w:ascii="Verdana" w:hAnsi="Verdana"/>
        </w:rPr>
        <w:t xml:space="preserve"> αυξήθηκε σημαντικά τα τελευταία έτη: από 4.380.000 στο τέλος του 2005 έφτασε τα 5</w:t>
      </w:r>
      <w:r w:rsidRPr="008E5BD5">
        <w:rPr>
          <w:rFonts w:ascii="Verdana" w:hAnsi="Verdana"/>
        </w:rPr>
        <w:t>.</w:t>
      </w:r>
      <w:r w:rsidR="008E5BD5" w:rsidRPr="008E5BD5">
        <w:rPr>
          <w:rFonts w:ascii="Verdana" w:hAnsi="Verdana"/>
        </w:rPr>
        <w:t>190</w:t>
      </w:r>
      <w:r w:rsidR="008E5BD5">
        <w:rPr>
          <w:rFonts w:ascii="Verdana" w:hAnsi="Verdana"/>
        </w:rPr>
        <w:t>.000 στο τέλος του 201</w:t>
      </w:r>
      <w:r w:rsidR="008E5BD5" w:rsidRPr="008E5BD5">
        <w:rPr>
          <w:rFonts w:ascii="Verdana" w:hAnsi="Verdana"/>
        </w:rPr>
        <w:t>9</w:t>
      </w:r>
      <w:r w:rsidRPr="008E5BD5">
        <w:rPr>
          <w:rFonts w:ascii="Verdana" w:hAnsi="Verdana"/>
        </w:rPr>
        <w:t>,</w:t>
      </w:r>
      <w:r w:rsidRPr="00A61430">
        <w:rPr>
          <w:rFonts w:ascii="Verdana" w:hAnsi="Verdana"/>
        </w:rPr>
        <w:t xml:space="preserve"> εκ των οποίων 4.</w:t>
      </w:r>
      <w:r w:rsidR="008E5BD5" w:rsidRPr="008E5BD5">
        <w:rPr>
          <w:rFonts w:ascii="Verdana" w:hAnsi="Verdana"/>
        </w:rPr>
        <w:t>938</w:t>
      </w:r>
      <w:r w:rsidR="008E5BD5">
        <w:rPr>
          <w:rFonts w:ascii="Verdana" w:hAnsi="Verdana"/>
        </w:rPr>
        <w:t>.000 ήταν απασχολούμενοι και 25</w:t>
      </w:r>
      <w:r w:rsidR="008E5BD5" w:rsidRPr="008E5BD5">
        <w:rPr>
          <w:rFonts w:ascii="Verdana" w:hAnsi="Verdana"/>
        </w:rPr>
        <w:t>2</w:t>
      </w:r>
      <w:r w:rsidRPr="00A61430">
        <w:rPr>
          <w:rFonts w:ascii="Verdana" w:hAnsi="Verdana"/>
        </w:rPr>
        <w:t xml:space="preserve">.000 άνεργοι. </w:t>
      </w:r>
    </w:p>
    <w:p w:rsidR="00775623" w:rsidRPr="00A61430" w:rsidRDefault="00775623" w:rsidP="00A61430">
      <w:pPr>
        <w:autoSpaceDE w:val="0"/>
        <w:autoSpaceDN w:val="0"/>
        <w:adjustRightInd w:val="0"/>
        <w:jc w:val="both"/>
        <w:rPr>
          <w:rFonts w:ascii="Verdana" w:hAnsi="Verdana"/>
        </w:rPr>
      </w:pPr>
      <w:r w:rsidRPr="00A61430">
        <w:rPr>
          <w:rFonts w:ascii="Verdana" w:hAnsi="Verdana"/>
        </w:rPr>
        <w:t xml:space="preserve">Εκτός από τους </w:t>
      </w:r>
      <w:proofErr w:type="spellStart"/>
      <w:r w:rsidRPr="00A61430">
        <w:rPr>
          <w:rFonts w:ascii="Verdana" w:hAnsi="Verdana"/>
        </w:rPr>
        <w:t>Αζέρους</w:t>
      </w:r>
      <w:proofErr w:type="spellEnd"/>
      <w:r w:rsidRPr="00A61430">
        <w:rPr>
          <w:rFonts w:ascii="Verdana" w:hAnsi="Verdana"/>
        </w:rPr>
        <w:t xml:space="preserve"> του Αζερμπαϊτζάν, υπάρχει και μεγάλη διασπορά στο Ιράν, όπου υπολογίζεται</w:t>
      </w:r>
      <w:r w:rsidR="00EB28B2">
        <w:rPr>
          <w:rFonts w:ascii="Verdana" w:hAnsi="Verdana"/>
        </w:rPr>
        <w:t xml:space="preserve">, ότι ζουν </w:t>
      </w:r>
      <w:r w:rsidRPr="00A61430">
        <w:rPr>
          <w:rFonts w:ascii="Verdana" w:hAnsi="Verdana"/>
        </w:rPr>
        <w:t xml:space="preserve">15 έως 25 εκατομμύρια </w:t>
      </w:r>
      <w:proofErr w:type="spellStart"/>
      <w:r w:rsidRPr="00A61430">
        <w:rPr>
          <w:rFonts w:ascii="Verdana" w:hAnsi="Verdana"/>
        </w:rPr>
        <w:t>Αζέροι</w:t>
      </w:r>
      <w:proofErr w:type="spellEnd"/>
      <w:r w:rsidRPr="00A61430">
        <w:rPr>
          <w:rFonts w:ascii="Verdana" w:hAnsi="Verdana"/>
        </w:rPr>
        <w:t xml:space="preserve"> στο βόρειο τμήμα του με επίκεντρο την Ταυρίδα (</w:t>
      </w:r>
      <w:proofErr w:type="spellStart"/>
      <w:r w:rsidRPr="00A61430">
        <w:rPr>
          <w:rFonts w:ascii="Verdana" w:hAnsi="Verdana"/>
        </w:rPr>
        <w:t>Ταμπρίς</w:t>
      </w:r>
      <w:proofErr w:type="spellEnd"/>
      <w:r w:rsidRPr="00A61430">
        <w:rPr>
          <w:rFonts w:ascii="Verdana" w:hAnsi="Verdana"/>
        </w:rPr>
        <w:t>). Αν και δεν υπάρχουν επιβεβαιωμένα επίσημα στοιχεία, η διασπορά αυτή συμμετέχει και στην οικονομική ζωή του Αζερμπαϊτζά</w:t>
      </w:r>
      <w:r w:rsidR="00863A03" w:rsidRPr="00A61430">
        <w:rPr>
          <w:rFonts w:ascii="Verdana" w:hAnsi="Verdana"/>
        </w:rPr>
        <w:t>ν, επενδύοντας</w:t>
      </w:r>
      <w:r w:rsidR="00F22295">
        <w:rPr>
          <w:rFonts w:ascii="Verdana" w:hAnsi="Verdana"/>
        </w:rPr>
        <w:t>,</w:t>
      </w:r>
      <w:r w:rsidR="00863A03" w:rsidRPr="00A61430">
        <w:rPr>
          <w:rFonts w:ascii="Verdana" w:hAnsi="Verdana"/>
        </w:rPr>
        <w:t xml:space="preserve"> </w:t>
      </w:r>
      <w:r w:rsidR="00F22295" w:rsidRPr="00A61430">
        <w:rPr>
          <w:rFonts w:ascii="Verdana" w:hAnsi="Verdana"/>
        </w:rPr>
        <w:t>κυρίως</w:t>
      </w:r>
      <w:r w:rsidR="00F22295">
        <w:rPr>
          <w:rFonts w:ascii="Verdana" w:hAnsi="Verdana"/>
        </w:rPr>
        <w:t>,</w:t>
      </w:r>
      <w:r w:rsidR="00F22295" w:rsidRPr="00A61430">
        <w:rPr>
          <w:rFonts w:ascii="Verdana" w:hAnsi="Verdana"/>
        </w:rPr>
        <w:t xml:space="preserve"> </w:t>
      </w:r>
      <w:r w:rsidR="00863A03" w:rsidRPr="00A61430">
        <w:rPr>
          <w:rFonts w:ascii="Verdana" w:hAnsi="Verdana"/>
        </w:rPr>
        <w:t>στην</w:t>
      </w:r>
      <w:r w:rsidRPr="00A61430">
        <w:rPr>
          <w:rFonts w:ascii="Verdana" w:hAnsi="Verdana"/>
        </w:rPr>
        <w:t xml:space="preserve"> αγορά </w:t>
      </w:r>
      <w:r w:rsidR="0043440A" w:rsidRPr="00A61430">
        <w:rPr>
          <w:rFonts w:ascii="Verdana" w:hAnsi="Verdana"/>
        </w:rPr>
        <w:t>ακινήτων</w:t>
      </w:r>
      <w:r w:rsidRPr="00A61430">
        <w:rPr>
          <w:rFonts w:ascii="Verdana" w:hAnsi="Verdana"/>
        </w:rPr>
        <w:t xml:space="preserve"> στο Μπακού.</w:t>
      </w:r>
    </w:p>
    <w:p w:rsidR="00A61430" w:rsidRPr="00A61430" w:rsidRDefault="00A61430" w:rsidP="00A61430">
      <w:pPr>
        <w:pStyle w:val="2"/>
        <w:numPr>
          <w:ilvl w:val="0"/>
          <w:numId w:val="0"/>
        </w:numPr>
        <w:ind w:left="576" w:hanging="576"/>
        <w:jc w:val="both"/>
        <w:rPr>
          <w:rFonts w:ascii="Verdana" w:hAnsi="Verdana"/>
          <w:color w:val="002060"/>
          <w:sz w:val="22"/>
          <w:szCs w:val="22"/>
        </w:rPr>
      </w:pPr>
      <w:bookmarkStart w:id="8" w:name="_Toc208679045"/>
      <w:bookmarkStart w:id="9" w:name="_Toc392595478"/>
    </w:p>
    <w:p w:rsidR="00775623" w:rsidRPr="00A61430" w:rsidRDefault="00573903" w:rsidP="00A61430">
      <w:pPr>
        <w:pStyle w:val="2"/>
        <w:numPr>
          <w:ilvl w:val="0"/>
          <w:numId w:val="0"/>
        </w:numPr>
        <w:ind w:left="576" w:hanging="576"/>
        <w:jc w:val="both"/>
        <w:rPr>
          <w:rFonts w:ascii="Verdana" w:hAnsi="Verdana"/>
          <w:color w:val="002060"/>
          <w:sz w:val="22"/>
          <w:szCs w:val="22"/>
        </w:rPr>
      </w:pPr>
      <w:r w:rsidRPr="00A61430">
        <w:rPr>
          <w:rFonts w:ascii="Verdana" w:hAnsi="Verdana"/>
          <w:color w:val="002060"/>
          <w:sz w:val="22"/>
          <w:szCs w:val="22"/>
        </w:rPr>
        <w:t xml:space="preserve">4. </w:t>
      </w:r>
      <w:r w:rsidR="00775623" w:rsidRPr="00A61430">
        <w:rPr>
          <w:rFonts w:ascii="Verdana" w:hAnsi="Verdana"/>
          <w:color w:val="002060"/>
          <w:sz w:val="22"/>
          <w:szCs w:val="22"/>
        </w:rPr>
        <w:t>ΛΟΙΠΑ ΣΤΟΙΧΕΙΑ</w:t>
      </w:r>
      <w:bookmarkEnd w:id="8"/>
      <w:bookmarkEnd w:id="9"/>
    </w:p>
    <w:p w:rsidR="00A61430" w:rsidRPr="00A61430" w:rsidRDefault="00A61430" w:rsidP="00A61430">
      <w:pPr>
        <w:jc w:val="both"/>
        <w:rPr>
          <w:rFonts w:ascii="Verdana" w:hAnsi="Verdana"/>
        </w:rPr>
      </w:pPr>
    </w:p>
    <w:p w:rsidR="00775623" w:rsidRPr="00A61430" w:rsidRDefault="00775623" w:rsidP="00A61430">
      <w:pPr>
        <w:jc w:val="both"/>
        <w:rPr>
          <w:rFonts w:ascii="Verdana" w:hAnsi="Verdana"/>
        </w:rPr>
      </w:pPr>
      <w:r w:rsidRPr="00A61430">
        <w:rPr>
          <w:rFonts w:ascii="Verdana" w:hAnsi="Verdana"/>
        </w:rPr>
        <w:t xml:space="preserve">Η επίσημη γλώσσα </w:t>
      </w:r>
      <w:r w:rsidR="00EB28B2">
        <w:rPr>
          <w:rFonts w:ascii="Verdana" w:hAnsi="Verdana"/>
        </w:rPr>
        <w:t xml:space="preserve">του Αζερμπαϊτζάν είναι η </w:t>
      </w:r>
      <w:proofErr w:type="spellStart"/>
      <w:r w:rsidR="00EB28B2">
        <w:rPr>
          <w:rFonts w:ascii="Verdana" w:hAnsi="Verdana"/>
        </w:rPr>
        <w:t>αζέρικη</w:t>
      </w:r>
      <w:proofErr w:type="spellEnd"/>
      <w:r w:rsidRPr="00A61430">
        <w:rPr>
          <w:rFonts w:ascii="Verdana" w:hAnsi="Verdana"/>
        </w:rPr>
        <w:t xml:space="preserve">, η οποία ανήκει στην οικογένεια των τουρκικών γλωσσών. </w:t>
      </w:r>
      <w:r w:rsidR="00F22295">
        <w:rPr>
          <w:rFonts w:ascii="Verdana" w:hAnsi="Verdana"/>
        </w:rPr>
        <w:t xml:space="preserve">Στην χώρα ομιλείται επίσης σε σημαντικό βαθμό και η ρωσική γλώσσα, ενώ ελάχιστα διαδεδομένες είναι οι λοιπές διεθνείς γλώσσες. </w:t>
      </w:r>
      <w:r w:rsidRPr="00A61430">
        <w:rPr>
          <w:rFonts w:ascii="Verdana" w:hAnsi="Verdana"/>
        </w:rPr>
        <w:t>Η επίσημη ώρα της χώρας είναι +3</w:t>
      </w:r>
      <w:r w:rsidR="00EB28B2">
        <w:rPr>
          <w:rFonts w:ascii="Verdana" w:hAnsi="Verdana"/>
        </w:rPr>
        <w:t xml:space="preserve"> ώρες </w:t>
      </w:r>
      <w:proofErr w:type="spellStart"/>
      <w:r w:rsidR="00EB28B2">
        <w:rPr>
          <w:rFonts w:ascii="Verdana" w:hAnsi="Verdana"/>
        </w:rPr>
        <w:t>Γκρίνουϊτς</w:t>
      </w:r>
      <w:proofErr w:type="spellEnd"/>
      <w:r w:rsidR="00EB28B2">
        <w:rPr>
          <w:rFonts w:ascii="Verdana" w:hAnsi="Verdana"/>
        </w:rPr>
        <w:t xml:space="preserve"> και οι </w:t>
      </w:r>
      <w:proofErr w:type="spellStart"/>
      <w:r w:rsidR="00EB28B2">
        <w:rPr>
          <w:rFonts w:ascii="Verdana" w:hAnsi="Verdana"/>
        </w:rPr>
        <w:t>αζέρικες</w:t>
      </w:r>
      <w:proofErr w:type="spellEnd"/>
      <w:r w:rsidRPr="00A61430">
        <w:rPr>
          <w:rFonts w:ascii="Verdana" w:hAnsi="Verdana"/>
        </w:rPr>
        <w:t xml:space="preserve"> ηλεκτρονικές διευθύνσεις έχουν την κατάληξη .</w:t>
      </w:r>
      <w:proofErr w:type="spellStart"/>
      <w:r w:rsidRPr="00A61430">
        <w:rPr>
          <w:rFonts w:ascii="Verdana" w:hAnsi="Verdana"/>
          <w:lang w:val="en-US"/>
        </w:rPr>
        <w:t>az</w:t>
      </w:r>
      <w:proofErr w:type="spellEnd"/>
      <w:r w:rsidRPr="00A61430">
        <w:rPr>
          <w:rFonts w:ascii="Verdana" w:hAnsi="Verdana"/>
        </w:rPr>
        <w:t xml:space="preserve">. Ο τηλεφωνικός κωδικός διεθνών κλήσεων της χώρας είναι +994 και το επίσημο εθνικό νόμισμα είναι το </w:t>
      </w:r>
      <w:proofErr w:type="spellStart"/>
      <w:r w:rsidRPr="00A61430">
        <w:rPr>
          <w:rFonts w:ascii="Verdana" w:hAnsi="Verdana"/>
        </w:rPr>
        <w:t>Μανάτ</w:t>
      </w:r>
      <w:proofErr w:type="spellEnd"/>
      <w:r w:rsidRPr="00A61430">
        <w:rPr>
          <w:rFonts w:ascii="Verdana" w:hAnsi="Verdana"/>
        </w:rPr>
        <w:t xml:space="preserve"> (ΑΖΝ). </w:t>
      </w:r>
    </w:p>
    <w:p w:rsidR="0043440A" w:rsidRPr="00A61430" w:rsidRDefault="0043440A" w:rsidP="00A61430">
      <w:pPr>
        <w:pStyle w:val="2"/>
        <w:numPr>
          <w:ilvl w:val="0"/>
          <w:numId w:val="0"/>
        </w:numPr>
        <w:ind w:left="576" w:hanging="576"/>
        <w:jc w:val="both"/>
        <w:rPr>
          <w:rFonts w:ascii="Verdana" w:hAnsi="Verdana"/>
          <w:color w:val="002060"/>
          <w:sz w:val="22"/>
          <w:szCs w:val="22"/>
        </w:rPr>
      </w:pPr>
    </w:p>
    <w:p w:rsidR="00A61430" w:rsidRPr="00A61430" w:rsidRDefault="00A61430" w:rsidP="00A61430">
      <w:pPr>
        <w:jc w:val="both"/>
        <w:rPr>
          <w:rFonts w:ascii="Verdana" w:hAnsi="Verdana"/>
        </w:rPr>
      </w:pPr>
    </w:p>
    <w:p w:rsidR="00AC4755" w:rsidRPr="00B7100C" w:rsidRDefault="00AC4755" w:rsidP="00F22295">
      <w:pPr>
        <w:jc w:val="center"/>
        <w:rPr>
          <w:rFonts w:ascii="Verdana" w:hAnsi="Verdana"/>
          <w:b/>
          <w:color w:val="002060"/>
          <w:sz w:val="32"/>
          <w:szCs w:val="32"/>
        </w:rPr>
      </w:pPr>
    </w:p>
    <w:p w:rsidR="00A61430" w:rsidRPr="00F22295" w:rsidRDefault="00A61430" w:rsidP="00F22295">
      <w:pPr>
        <w:jc w:val="center"/>
        <w:rPr>
          <w:rFonts w:ascii="Verdana" w:hAnsi="Verdana"/>
          <w:b/>
          <w:color w:val="002060"/>
          <w:sz w:val="32"/>
          <w:szCs w:val="32"/>
        </w:rPr>
      </w:pPr>
      <w:r w:rsidRPr="00F22295">
        <w:rPr>
          <w:rFonts w:ascii="Verdana" w:hAnsi="Verdana"/>
          <w:b/>
          <w:color w:val="002060"/>
          <w:sz w:val="32"/>
          <w:szCs w:val="32"/>
        </w:rPr>
        <w:lastRenderedPageBreak/>
        <w:t>ΚΕΦΑΛΑΙΟ Β΄</w:t>
      </w:r>
    </w:p>
    <w:tbl>
      <w:tblPr>
        <w:tblStyle w:val="a9"/>
        <w:tblW w:w="0" w:type="auto"/>
        <w:tblLook w:val="04A0" w:firstRow="1" w:lastRow="0" w:firstColumn="1" w:lastColumn="0" w:noHBand="0" w:noVBand="1"/>
      </w:tblPr>
      <w:tblGrid>
        <w:gridCol w:w="9016"/>
      </w:tblGrid>
      <w:tr w:rsidR="0043440A" w:rsidRPr="00F22295" w:rsidTr="00AC4755">
        <w:trPr>
          <w:trHeight w:val="458"/>
        </w:trPr>
        <w:tc>
          <w:tcPr>
            <w:tcW w:w="9242" w:type="dxa"/>
            <w:shd w:val="clear" w:color="auto" w:fill="DDD9C3" w:themeFill="background2" w:themeFillShade="E6"/>
          </w:tcPr>
          <w:p w:rsidR="0043440A" w:rsidRPr="00AC4755" w:rsidRDefault="004B6BBD" w:rsidP="00AC4755">
            <w:pPr>
              <w:jc w:val="center"/>
              <w:rPr>
                <w:rFonts w:ascii="Verdana" w:hAnsi="Verdana"/>
                <w:b/>
                <w:sz w:val="28"/>
                <w:szCs w:val="28"/>
              </w:rPr>
            </w:pPr>
            <w:r w:rsidRPr="00AC4755">
              <w:rPr>
                <w:rFonts w:ascii="Verdana" w:hAnsi="Verdana"/>
                <w:b/>
                <w:sz w:val="28"/>
                <w:szCs w:val="28"/>
              </w:rPr>
              <w:t>ΟΙΚΟΝΟΜΙΑ ΑΖΕΡΜΠΑΪΤΖΑΝ</w:t>
            </w:r>
          </w:p>
        </w:tc>
      </w:tr>
    </w:tbl>
    <w:p w:rsidR="00573903" w:rsidRPr="00A61430" w:rsidRDefault="00573903" w:rsidP="00A61430">
      <w:pPr>
        <w:pStyle w:val="Para-2"/>
        <w:tabs>
          <w:tab w:val="left" w:pos="7361"/>
        </w:tabs>
        <w:ind w:firstLine="0"/>
        <w:rPr>
          <w:rFonts w:ascii="Verdana" w:hAnsi="Verdana"/>
          <w:b/>
          <w:caps/>
          <w:color w:val="1F497D" w:themeColor="text2"/>
          <w:sz w:val="22"/>
          <w:szCs w:val="22"/>
        </w:rPr>
      </w:pPr>
    </w:p>
    <w:p w:rsidR="00801665" w:rsidRPr="00F22295" w:rsidRDefault="00863A03" w:rsidP="00A61430">
      <w:pPr>
        <w:pStyle w:val="Para-2"/>
        <w:tabs>
          <w:tab w:val="left" w:pos="7361"/>
        </w:tabs>
        <w:ind w:firstLine="0"/>
        <w:rPr>
          <w:rFonts w:ascii="Verdana" w:hAnsi="Verdana"/>
          <w:b/>
          <w:caps/>
          <w:color w:val="002060"/>
          <w:sz w:val="24"/>
          <w:szCs w:val="24"/>
        </w:rPr>
      </w:pPr>
      <w:r w:rsidRPr="00F22295">
        <w:rPr>
          <w:rFonts w:ascii="Verdana" w:hAnsi="Verdana"/>
          <w:b/>
          <w:caps/>
          <w:color w:val="1F497D" w:themeColor="text2"/>
          <w:sz w:val="24"/>
          <w:szCs w:val="24"/>
        </w:rPr>
        <w:t>1.</w:t>
      </w:r>
      <w:r w:rsidR="0029640B" w:rsidRPr="00F22295">
        <w:rPr>
          <w:rFonts w:ascii="Verdana" w:hAnsi="Verdana"/>
          <w:b/>
          <w:caps/>
          <w:color w:val="1F497D" w:themeColor="text2"/>
          <w:sz w:val="24"/>
          <w:szCs w:val="24"/>
        </w:rPr>
        <w:t xml:space="preserve"> </w:t>
      </w:r>
      <w:r w:rsidR="00801665" w:rsidRPr="00F22295">
        <w:rPr>
          <w:rFonts w:ascii="Verdana" w:hAnsi="Verdana"/>
          <w:b/>
          <w:caps/>
          <w:color w:val="002060"/>
          <w:sz w:val="24"/>
          <w:szCs w:val="24"/>
        </w:rPr>
        <w:t>Βασικοι Οικονομικοι δεικτεσ</w:t>
      </w:r>
    </w:p>
    <w:p w:rsidR="00801665" w:rsidRPr="00A61430" w:rsidRDefault="00801665" w:rsidP="00A61430">
      <w:pPr>
        <w:pStyle w:val="Para-2"/>
        <w:tabs>
          <w:tab w:val="left" w:pos="7361"/>
        </w:tabs>
        <w:ind w:firstLine="0"/>
        <w:rPr>
          <w:rFonts w:ascii="Verdana" w:hAnsi="Verdana" w:cs="Times New Roman"/>
          <w:color w:val="002060"/>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440"/>
        <w:gridCol w:w="1530"/>
        <w:gridCol w:w="1350"/>
      </w:tblGrid>
      <w:tr w:rsidR="000D24F7" w:rsidRPr="00A61430" w:rsidTr="007962C0">
        <w:trPr>
          <w:trHeight w:val="593"/>
        </w:trPr>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A61430" w:rsidRDefault="000D24F7" w:rsidP="00A61430">
            <w:pPr>
              <w:pStyle w:val="a6"/>
              <w:rPr>
                <w:rFonts w:ascii="Verdana" w:hAnsi="Verdana"/>
                <w:sz w:val="22"/>
                <w:szCs w:val="22"/>
                <w:lang w:val="el-GR" w:eastAsia="el-GR"/>
              </w:rPr>
            </w:pP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b/>
                <w:bCs/>
                <w:sz w:val="22"/>
                <w:szCs w:val="22"/>
                <w:lang w:val="el-GR" w:eastAsia="el-GR"/>
              </w:rPr>
            </w:pPr>
            <w:r w:rsidRPr="00A61430">
              <w:rPr>
                <w:rFonts w:ascii="Verdana" w:hAnsi="Verdana"/>
                <w:b/>
                <w:bCs/>
                <w:sz w:val="22"/>
                <w:szCs w:val="22"/>
                <w:lang w:val="el-GR"/>
              </w:rPr>
              <w:t>2017</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A61430" w:rsidRDefault="000D24F7" w:rsidP="008510C2">
            <w:pPr>
              <w:pStyle w:val="a6"/>
              <w:jc w:val="right"/>
              <w:rPr>
                <w:rFonts w:ascii="Verdana" w:hAnsi="Verdana"/>
                <w:b/>
                <w:bCs/>
                <w:sz w:val="22"/>
                <w:szCs w:val="22"/>
                <w:lang w:val="el-GR" w:eastAsia="el-GR"/>
              </w:rPr>
            </w:pPr>
            <w:r w:rsidRPr="00A61430">
              <w:rPr>
                <w:rFonts w:ascii="Verdana" w:hAnsi="Verdana"/>
                <w:b/>
                <w:bCs/>
                <w:sz w:val="22"/>
                <w:szCs w:val="22"/>
                <w:lang w:val="el-GR"/>
              </w:rPr>
              <w:t>2018</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EF70AE">
            <w:pPr>
              <w:pStyle w:val="a6"/>
              <w:jc w:val="right"/>
              <w:rPr>
                <w:rFonts w:ascii="Verdana" w:hAnsi="Verdana"/>
                <w:b/>
                <w:bCs/>
                <w:sz w:val="22"/>
                <w:szCs w:val="22"/>
                <w:lang w:val="el-GR" w:eastAsia="el-GR"/>
              </w:rPr>
            </w:pPr>
            <w:r>
              <w:rPr>
                <w:rFonts w:ascii="Verdana" w:hAnsi="Verdana"/>
                <w:b/>
                <w:bCs/>
                <w:sz w:val="22"/>
                <w:szCs w:val="22"/>
                <w:lang w:val="el-GR" w:eastAsia="el-GR"/>
              </w:rPr>
              <w:t>2019</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 xml:space="preserve">Α.Ε.Π. (δις. </w:t>
            </w:r>
            <w:r w:rsidRPr="00A61430">
              <w:rPr>
                <w:rFonts w:ascii="Verdana" w:hAnsi="Verdana"/>
                <w:sz w:val="22"/>
                <w:szCs w:val="22"/>
              </w:rPr>
              <w:t>US</w:t>
            </w:r>
            <w:r w:rsidRPr="00A61430">
              <w:rPr>
                <w:rFonts w:ascii="Verdana" w:hAnsi="Verdana"/>
                <w:sz w:val="22"/>
                <w:szCs w:val="22"/>
                <w:lang w:val="el-GR"/>
              </w:rPr>
              <w:t>$- σε τρέχουσες τιμές)</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40,8</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46,9</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8510C2" w:rsidRDefault="008510C2" w:rsidP="00EF70AE">
            <w:pPr>
              <w:pStyle w:val="a6"/>
              <w:jc w:val="right"/>
              <w:rPr>
                <w:rFonts w:ascii="Verdana" w:hAnsi="Verdana"/>
                <w:sz w:val="22"/>
                <w:szCs w:val="22"/>
                <w:lang w:eastAsia="el-GR"/>
              </w:rPr>
            </w:pPr>
            <w:r>
              <w:rPr>
                <w:rFonts w:ascii="Verdana" w:hAnsi="Verdana"/>
                <w:sz w:val="22"/>
                <w:szCs w:val="22"/>
                <w:lang w:eastAsia="el-GR"/>
              </w:rPr>
              <w:t>48,1</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 Μεταβολή του ΑΕΠ( σταθερές τιμές)</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0,1</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D663DB" w:rsidRDefault="000D24F7" w:rsidP="008510C2">
            <w:pPr>
              <w:pStyle w:val="a6"/>
              <w:jc w:val="right"/>
              <w:rPr>
                <w:rFonts w:ascii="Verdana" w:hAnsi="Verdana"/>
                <w:sz w:val="22"/>
                <w:szCs w:val="22"/>
                <w:lang w:eastAsia="el-GR"/>
              </w:rPr>
            </w:pPr>
            <w:r w:rsidRPr="00A61430">
              <w:rPr>
                <w:rFonts w:ascii="Verdana" w:hAnsi="Verdana"/>
                <w:sz w:val="22"/>
                <w:szCs w:val="22"/>
                <w:lang w:val="el-GR" w:eastAsia="el-GR"/>
              </w:rPr>
              <w:t>1,</w:t>
            </w:r>
            <w:r w:rsidR="00D663DB">
              <w:rPr>
                <w:rFonts w:ascii="Verdana" w:hAnsi="Verdana"/>
                <w:sz w:val="22"/>
                <w:szCs w:val="22"/>
                <w:lang w:eastAsia="el-GR"/>
              </w:rPr>
              <w:t>4</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8510C2" w:rsidRDefault="008510C2" w:rsidP="00EF70AE">
            <w:pPr>
              <w:pStyle w:val="a6"/>
              <w:jc w:val="right"/>
              <w:rPr>
                <w:rFonts w:ascii="Verdana" w:hAnsi="Verdana"/>
                <w:sz w:val="22"/>
                <w:szCs w:val="22"/>
                <w:lang w:eastAsia="el-GR"/>
              </w:rPr>
            </w:pPr>
            <w:r>
              <w:rPr>
                <w:rFonts w:ascii="Verdana" w:hAnsi="Verdana"/>
                <w:sz w:val="22"/>
                <w:szCs w:val="22"/>
                <w:lang w:eastAsia="el-GR"/>
              </w:rPr>
              <w:t>2,2</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Κατά κεφαλή  Α.Ε.Π. (</w:t>
            </w:r>
            <w:r w:rsidRPr="00A61430">
              <w:rPr>
                <w:rFonts w:ascii="Verdana" w:hAnsi="Verdana"/>
                <w:sz w:val="22"/>
                <w:szCs w:val="22"/>
              </w:rPr>
              <w:t>US</w:t>
            </w:r>
            <w:r w:rsidRPr="00A61430">
              <w:rPr>
                <w:rFonts w:ascii="Verdana" w:hAnsi="Verdana"/>
                <w:sz w:val="22"/>
                <w:szCs w:val="22"/>
                <w:lang w:val="el-GR"/>
              </w:rPr>
              <w:t>$ )</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4.198</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4.780</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D663DB" w:rsidRDefault="00D663DB" w:rsidP="00EF70AE">
            <w:pPr>
              <w:pStyle w:val="a6"/>
              <w:jc w:val="right"/>
              <w:rPr>
                <w:rFonts w:ascii="Verdana" w:hAnsi="Verdana"/>
                <w:sz w:val="22"/>
                <w:szCs w:val="22"/>
                <w:lang w:eastAsia="el-GR"/>
              </w:rPr>
            </w:pPr>
            <w:r>
              <w:rPr>
                <w:rFonts w:ascii="Verdana" w:hAnsi="Verdana"/>
                <w:sz w:val="22"/>
                <w:szCs w:val="22"/>
                <w:lang w:eastAsia="el-GR"/>
              </w:rPr>
              <w:t>4.851</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rPr>
            </w:pPr>
            <w:r w:rsidRPr="00A61430">
              <w:rPr>
                <w:rFonts w:ascii="Verdana" w:hAnsi="Verdana"/>
                <w:sz w:val="22"/>
                <w:szCs w:val="22"/>
                <w:lang w:val="el-GR"/>
              </w:rPr>
              <w:t>Ανεργία %</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5,0</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5,0</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8637A5" w:rsidRDefault="008637A5" w:rsidP="00EF70AE">
            <w:pPr>
              <w:pStyle w:val="a6"/>
              <w:jc w:val="right"/>
              <w:rPr>
                <w:rFonts w:ascii="Verdana" w:hAnsi="Verdana"/>
                <w:sz w:val="22"/>
                <w:szCs w:val="22"/>
                <w:lang w:eastAsia="el-GR"/>
              </w:rPr>
            </w:pPr>
            <w:r>
              <w:rPr>
                <w:rFonts w:ascii="Verdana" w:hAnsi="Verdana"/>
                <w:sz w:val="22"/>
                <w:szCs w:val="22"/>
                <w:lang w:eastAsia="el-GR"/>
              </w:rPr>
              <w:t>5,0</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Πληθωρισμός %</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12,8</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2,3</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105932" w:rsidRDefault="00105932" w:rsidP="00EF70AE">
            <w:pPr>
              <w:pStyle w:val="a6"/>
              <w:jc w:val="right"/>
              <w:rPr>
                <w:rFonts w:ascii="Verdana" w:hAnsi="Verdana"/>
                <w:sz w:val="22"/>
                <w:szCs w:val="22"/>
                <w:lang w:eastAsia="el-GR"/>
              </w:rPr>
            </w:pPr>
            <w:r>
              <w:rPr>
                <w:rFonts w:ascii="Verdana" w:hAnsi="Verdana"/>
                <w:sz w:val="22"/>
                <w:szCs w:val="22"/>
                <w:lang w:eastAsia="el-GR"/>
              </w:rPr>
              <w:t>2,6</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EF70AE" w:rsidRDefault="000D24F7" w:rsidP="00A61430">
            <w:pPr>
              <w:pStyle w:val="a6"/>
              <w:rPr>
                <w:rFonts w:ascii="Verdana" w:hAnsi="Verdana"/>
                <w:sz w:val="22"/>
                <w:szCs w:val="22"/>
                <w:lang w:val="el-GR" w:eastAsia="el-GR"/>
              </w:rPr>
            </w:pPr>
            <w:r w:rsidRPr="00EF70AE">
              <w:rPr>
                <w:rFonts w:ascii="Verdana" w:hAnsi="Verdana"/>
                <w:sz w:val="22"/>
                <w:szCs w:val="22"/>
                <w:lang w:val="el-GR"/>
              </w:rPr>
              <w:t xml:space="preserve">Εξαγωγές  ( δις </w:t>
            </w:r>
            <w:r w:rsidRPr="00EF70AE">
              <w:rPr>
                <w:rFonts w:ascii="Verdana" w:hAnsi="Verdana"/>
                <w:sz w:val="22"/>
                <w:szCs w:val="22"/>
              </w:rPr>
              <w:t>US$)</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EF70AE" w:rsidRDefault="000D24F7" w:rsidP="008510C2">
            <w:pPr>
              <w:pStyle w:val="a6"/>
              <w:jc w:val="right"/>
              <w:rPr>
                <w:rFonts w:ascii="Verdana" w:hAnsi="Verdana"/>
                <w:sz w:val="22"/>
                <w:szCs w:val="22"/>
                <w:lang w:val="el-GR" w:eastAsia="el-GR"/>
              </w:rPr>
            </w:pPr>
            <w:r w:rsidRPr="00EF70AE">
              <w:rPr>
                <w:rFonts w:ascii="Verdana" w:hAnsi="Verdana"/>
                <w:sz w:val="22"/>
                <w:szCs w:val="22"/>
                <w:lang w:val="el-GR" w:eastAsia="el-GR"/>
              </w:rPr>
              <w:t>15,3</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EF70AE" w:rsidRDefault="000D24F7" w:rsidP="008510C2">
            <w:pPr>
              <w:pStyle w:val="a6"/>
              <w:jc w:val="right"/>
              <w:rPr>
                <w:rFonts w:ascii="Verdana" w:hAnsi="Verdana"/>
                <w:sz w:val="22"/>
                <w:szCs w:val="22"/>
                <w:lang w:val="el-GR" w:eastAsia="el-GR"/>
              </w:rPr>
            </w:pPr>
            <w:r w:rsidRPr="00EF70AE">
              <w:rPr>
                <w:rFonts w:ascii="Verdana" w:hAnsi="Verdana"/>
                <w:sz w:val="22"/>
                <w:szCs w:val="22"/>
                <w:lang w:val="el-GR" w:eastAsia="el-GR"/>
              </w:rPr>
              <w:t>19,5</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2461C1" w:rsidRDefault="002461C1" w:rsidP="00EF70AE">
            <w:pPr>
              <w:pStyle w:val="a6"/>
              <w:jc w:val="right"/>
              <w:rPr>
                <w:rFonts w:ascii="Verdana" w:hAnsi="Verdana"/>
                <w:sz w:val="22"/>
                <w:szCs w:val="22"/>
                <w:lang w:eastAsia="el-GR"/>
              </w:rPr>
            </w:pPr>
            <w:r>
              <w:rPr>
                <w:rFonts w:ascii="Verdana" w:hAnsi="Verdana"/>
                <w:sz w:val="22"/>
                <w:szCs w:val="22"/>
                <w:lang w:eastAsia="el-GR"/>
              </w:rPr>
              <w:t>19,</w:t>
            </w:r>
            <w:r w:rsidR="00181A37">
              <w:rPr>
                <w:rFonts w:ascii="Verdana" w:hAnsi="Verdana"/>
                <w:sz w:val="22"/>
                <w:szCs w:val="22"/>
                <w:lang w:eastAsia="el-GR"/>
              </w:rPr>
              <w:t>6</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EF70AE" w:rsidRDefault="000D24F7" w:rsidP="00A61430">
            <w:pPr>
              <w:pStyle w:val="a6"/>
              <w:rPr>
                <w:rFonts w:ascii="Verdana" w:hAnsi="Verdana"/>
                <w:sz w:val="22"/>
                <w:szCs w:val="22"/>
                <w:lang w:val="el-GR" w:eastAsia="el-GR"/>
              </w:rPr>
            </w:pPr>
            <w:proofErr w:type="spellStart"/>
            <w:r w:rsidRPr="00EF70AE">
              <w:rPr>
                <w:rFonts w:ascii="Verdana" w:hAnsi="Verdana"/>
                <w:sz w:val="22"/>
                <w:szCs w:val="22"/>
              </w:rPr>
              <w:t>Εισ</w:t>
            </w:r>
            <w:proofErr w:type="spellEnd"/>
            <w:r w:rsidRPr="00EF70AE">
              <w:rPr>
                <w:rFonts w:ascii="Verdana" w:hAnsi="Verdana"/>
                <w:sz w:val="22"/>
                <w:szCs w:val="22"/>
              </w:rPr>
              <w:t xml:space="preserve">αγωγές ( </w:t>
            </w:r>
            <w:proofErr w:type="spellStart"/>
            <w:r w:rsidRPr="00EF70AE">
              <w:rPr>
                <w:rFonts w:ascii="Verdana" w:hAnsi="Verdana"/>
                <w:sz w:val="22"/>
                <w:szCs w:val="22"/>
              </w:rPr>
              <w:t>δις</w:t>
            </w:r>
            <w:proofErr w:type="spellEnd"/>
            <w:r w:rsidRPr="00EF70AE">
              <w:rPr>
                <w:rFonts w:ascii="Verdana" w:hAnsi="Verdana"/>
                <w:sz w:val="22"/>
                <w:szCs w:val="22"/>
              </w:rPr>
              <w:t xml:space="preserve"> US$)</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EF70AE" w:rsidRDefault="000D24F7" w:rsidP="008510C2">
            <w:pPr>
              <w:pStyle w:val="a6"/>
              <w:jc w:val="right"/>
              <w:rPr>
                <w:rFonts w:ascii="Verdana" w:hAnsi="Verdana"/>
                <w:sz w:val="22"/>
                <w:szCs w:val="22"/>
                <w:lang w:val="el-GR" w:eastAsia="el-GR"/>
              </w:rPr>
            </w:pPr>
            <w:r>
              <w:rPr>
                <w:rFonts w:ascii="Verdana" w:hAnsi="Verdana"/>
                <w:sz w:val="22"/>
                <w:szCs w:val="22"/>
                <w:lang w:val="el-GR" w:eastAsia="el-GR"/>
              </w:rPr>
              <w:t>8,</w:t>
            </w:r>
            <w:r w:rsidRPr="00EF70AE">
              <w:rPr>
                <w:rFonts w:ascii="Verdana" w:hAnsi="Verdana"/>
                <w:sz w:val="22"/>
                <w:szCs w:val="22"/>
                <w:lang w:val="el-GR" w:eastAsia="el-GR"/>
              </w:rPr>
              <w:t>8</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EF70AE" w:rsidRDefault="000D24F7" w:rsidP="008510C2">
            <w:pPr>
              <w:pStyle w:val="a6"/>
              <w:jc w:val="right"/>
              <w:rPr>
                <w:rFonts w:ascii="Verdana" w:hAnsi="Verdana"/>
                <w:sz w:val="22"/>
                <w:szCs w:val="22"/>
                <w:lang w:val="el-GR" w:eastAsia="el-GR"/>
              </w:rPr>
            </w:pPr>
            <w:r w:rsidRPr="00EF70AE">
              <w:rPr>
                <w:rFonts w:ascii="Verdana" w:hAnsi="Verdana"/>
                <w:sz w:val="22"/>
                <w:szCs w:val="22"/>
                <w:lang w:val="el-GR" w:eastAsia="el-GR"/>
              </w:rPr>
              <w:t>11,5</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2461C1" w:rsidRDefault="002461C1" w:rsidP="00EF70AE">
            <w:pPr>
              <w:pStyle w:val="a6"/>
              <w:jc w:val="right"/>
              <w:rPr>
                <w:rFonts w:ascii="Verdana" w:hAnsi="Verdana"/>
                <w:sz w:val="22"/>
                <w:szCs w:val="22"/>
                <w:lang w:eastAsia="el-GR"/>
              </w:rPr>
            </w:pPr>
            <w:r>
              <w:rPr>
                <w:rFonts w:ascii="Verdana" w:hAnsi="Verdana"/>
                <w:sz w:val="22"/>
                <w:szCs w:val="22"/>
                <w:lang w:eastAsia="el-GR"/>
              </w:rPr>
              <w:t>13,6</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proofErr w:type="spellStart"/>
            <w:r w:rsidRPr="00A61430">
              <w:rPr>
                <w:rFonts w:ascii="Verdana" w:hAnsi="Verdana"/>
                <w:sz w:val="22"/>
                <w:szCs w:val="22"/>
              </w:rPr>
              <w:t>Εμ</w:t>
            </w:r>
            <w:proofErr w:type="spellEnd"/>
            <w:r w:rsidRPr="00A61430">
              <w:rPr>
                <w:rFonts w:ascii="Verdana" w:hAnsi="Verdana"/>
                <w:sz w:val="22"/>
                <w:szCs w:val="22"/>
              </w:rPr>
              <w:t xml:space="preserve">πορικό </w:t>
            </w:r>
            <w:r w:rsidRPr="00A61430">
              <w:rPr>
                <w:rFonts w:ascii="Verdana" w:hAnsi="Verdana"/>
                <w:sz w:val="22"/>
                <w:szCs w:val="22"/>
                <w:lang w:val="el-GR"/>
              </w:rPr>
              <w:t>ι</w:t>
            </w:r>
            <w:proofErr w:type="spellStart"/>
            <w:r w:rsidRPr="00A61430">
              <w:rPr>
                <w:rFonts w:ascii="Verdana" w:hAnsi="Verdana"/>
                <w:sz w:val="22"/>
                <w:szCs w:val="22"/>
              </w:rPr>
              <w:t>σοζύγιο</w:t>
            </w:r>
            <w:proofErr w:type="spellEnd"/>
            <w:r w:rsidRPr="00A61430">
              <w:rPr>
                <w:rFonts w:ascii="Verdana" w:hAnsi="Verdana"/>
                <w:sz w:val="22"/>
                <w:szCs w:val="22"/>
              </w:rPr>
              <w:t xml:space="preserve"> ( </w:t>
            </w:r>
            <w:proofErr w:type="spellStart"/>
            <w:r w:rsidRPr="00A61430">
              <w:rPr>
                <w:rFonts w:ascii="Verdana" w:hAnsi="Verdana"/>
                <w:sz w:val="22"/>
                <w:szCs w:val="22"/>
              </w:rPr>
              <w:t>δις</w:t>
            </w:r>
            <w:proofErr w:type="spellEnd"/>
            <w:r w:rsidRPr="00A61430">
              <w:rPr>
                <w:rFonts w:ascii="Verdana" w:hAnsi="Verdana"/>
                <w:sz w:val="22"/>
                <w:szCs w:val="22"/>
              </w:rPr>
              <w:t xml:space="preserve"> US$)</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A61430" w:rsidRDefault="00882F55" w:rsidP="008510C2">
            <w:pPr>
              <w:pStyle w:val="a6"/>
              <w:jc w:val="right"/>
              <w:rPr>
                <w:rFonts w:ascii="Verdana" w:hAnsi="Verdana"/>
                <w:sz w:val="22"/>
                <w:szCs w:val="22"/>
                <w:lang w:val="el-GR" w:eastAsia="el-GR"/>
              </w:rPr>
            </w:pPr>
            <w:r>
              <w:rPr>
                <w:rFonts w:ascii="Verdana" w:hAnsi="Verdana"/>
                <w:sz w:val="22"/>
                <w:szCs w:val="22"/>
                <w:lang w:val="el-GR" w:eastAsia="el-GR"/>
              </w:rPr>
              <w:t>+6</w:t>
            </w:r>
            <w:r>
              <w:rPr>
                <w:rFonts w:ascii="Verdana" w:hAnsi="Verdana"/>
                <w:sz w:val="22"/>
                <w:szCs w:val="22"/>
                <w:lang w:eastAsia="el-GR"/>
              </w:rPr>
              <w:t>,</w:t>
            </w:r>
            <w:r w:rsidR="000D24F7">
              <w:rPr>
                <w:rFonts w:ascii="Verdana" w:hAnsi="Verdana"/>
                <w:sz w:val="22"/>
                <w:szCs w:val="22"/>
                <w:lang w:val="el-GR" w:eastAsia="el-GR"/>
              </w:rPr>
              <w:t>5</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+8,</w:t>
            </w:r>
            <w:r>
              <w:rPr>
                <w:rFonts w:ascii="Verdana" w:hAnsi="Verdana"/>
                <w:sz w:val="22"/>
                <w:szCs w:val="22"/>
                <w:lang w:val="el-GR" w:eastAsia="el-GR"/>
              </w:rPr>
              <w:t>0</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882F55" w:rsidRDefault="00882F55" w:rsidP="00EF70AE">
            <w:pPr>
              <w:pStyle w:val="a6"/>
              <w:jc w:val="right"/>
              <w:rPr>
                <w:rFonts w:ascii="Verdana" w:hAnsi="Verdana"/>
                <w:sz w:val="22"/>
                <w:szCs w:val="22"/>
                <w:lang w:eastAsia="el-GR"/>
              </w:rPr>
            </w:pPr>
            <w:r>
              <w:rPr>
                <w:rFonts w:ascii="Verdana" w:hAnsi="Verdana"/>
                <w:sz w:val="22"/>
                <w:szCs w:val="22"/>
                <w:lang w:eastAsia="el-GR"/>
              </w:rPr>
              <w:t>+</w:t>
            </w:r>
            <w:r w:rsidR="00531BE6">
              <w:rPr>
                <w:rFonts w:ascii="Verdana" w:hAnsi="Verdana"/>
                <w:sz w:val="22"/>
                <w:szCs w:val="22"/>
                <w:lang w:eastAsia="el-GR"/>
              </w:rPr>
              <w:t>6,0</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 xml:space="preserve">ΑΞΕ στην χώρα ( εκατ. </w:t>
            </w:r>
            <w:r w:rsidRPr="00A61430">
              <w:rPr>
                <w:rFonts w:ascii="Verdana" w:hAnsi="Verdana"/>
                <w:sz w:val="22"/>
                <w:szCs w:val="22"/>
              </w:rPr>
              <w:t>US</w:t>
            </w:r>
            <w:r>
              <w:rPr>
                <w:rFonts w:ascii="Verdana" w:hAnsi="Verdana"/>
                <w:sz w:val="22"/>
                <w:szCs w:val="22"/>
                <w:lang w:val="el-GR"/>
              </w:rPr>
              <w:t>$</w:t>
            </w:r>
            <w:r w:rsidRPr="00A61430">
              <w:rPr>
                <w:rFonts w:ascii="Verdana" w:hAnsi="Verdana"/>
                <w:sz w:val="22"/>
                <w:szCs w:val="22"/>
                <w:lang w:val="el-GR"/>
              </w:rPr>
              <w:t>)</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29230C" w:rsidP="008510C2">
            <w:pPr>
              <w:pStyle w:val="a6"/>
              <w:jc w:val="right"/>
              <w:rPr>
                <w:rFonts w:ascii="Verdana" w:hAnsi="Verdana"/>
                <w:sz w:val="22"/>
                <w:szCs w:val="22"/>
                <w:lang w:eastAsia="el-GR"/>
              </w:rPr>
            </w:pPr>
            <w:r>
              <w:rPr>
                <w:rFonts w:ascii="Verdana" w:hAnsi="Verdana"/>
                <w:sz w:val="22"/>
                <w:szCs w:val="22"/>
                <w:lang w:eastAsia="el-GR"/>
              </w:rPr>
              <w:t>2.867</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29230C" w:rsidP="008510C2">
            <w:pPr>
              <w:pStyle w:val="a6"/>
              <w:jc w:val="right"/>
              <w:rPr>
                <w:rFonts w:ascii="Verdana" w:hAnsi="Verdana"/>
                <w:sz w:val="22"/>
                <w:szCs w:val="22"/>
                <w:lang w:eastAsia="el-GR"/>
              </w:rPr>
            </w:pPr>
            <w:r>
              <w:rPr>
                <w:rFonts w:ascii="Verdana" w:hAnsi="Verdana"/>
                <w:sz w:val="22"/>
                <w:szCs w:val="22"/>
                <w:lang w:eastAsia="el-GR"/>
              </w:rPr>
              <w:t>1.403</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A61430" w:rsidRDefault="0029230C" w:rsidP="00EF70AE">
            <w:pPr>
              <w:pStyle w:val="a6"/>
              <w:jc w:val="right"/>
              <w:rPr>
                <w:rFonts w:ascii="Verdana" w:hAnsi="Verdana"/>
                <w:sz w:val="22"/>
                <w:szCs w:val="22"/>
                <w:lang w:eastAsia="el-GR"/>
              </w:rPr>
            </w:pPr>
            <w:r>
              <w:rPr>
                <w:rFonts w:ascii="Verdana" w:hAnsi="Verdana"/>
                <w:sz w:val="22"/>
                <w:szCs w:val="22"/>
                <w:lang w:eastAsia="el-GR"/>
              </w:rPr>
              <w:t>1.504</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Default="000D24F7" w:rsidP="00A61430">
            <w:pPr>
              <w:pStyle w:val="a6"/>
              <w:rPr>
                <w:rFonts w:ascii="Verdana" w:hAnsi="Verdana"/>
                <w:sz w:val="22"/>
                <w:szCs w:val="22"/>
                <w:lang w:val="el-GR"/>
              </w:rPr>
            </w:pPr>
            <w:r w:rsidRPr="00A61430">
              <w:rPr>
                <w:rFonts w:ascii="Verdana" w:hAnsi="Verdana"/>
                <w:sz w:val="22"/>
                <w:szCs w:val="22"/>
                <w:lang w:val="el-GR"/>
              </w:rPr>
              <w:t xml:space="preserve">ΑΞΕ της χώρας στο εξωτερικό </w:t>
            </w:r>
          </w:p>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 xml:space="preserve">(εκατ. </w:t>
            </w:r>
            <w:r w:rsidRPr="00A61430">
              <w:rPr>
                <w:rFonts w:ascii="Verdana" w:hAnsi="Verdana"/>
                <w:sz w:val="22"/>
                <w:szCs w:val="22"/>
              </w:rPr>
              <w:t>US</w:t>
            </w:r>
            <w:r w:rsidRPr="00A61430">
              <w:rPr>
                <w:rFonts w:ascii="Verdana" w:hAnsi="Verdana"/>
                <w:sz w:val="22"/>
                <w:szCs w:val="22"/>
                <w:lang w:val="el-GR"/>
              </w:rPr>
              <w:t>$)</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A61430" w:rsidRDefault="000D24F7" w:rsidP="008510C2">
            <w:pPr>
              <w:pStyle w:val="a6"/>
              <w:jc w:val="right"/>
              <w:rPr>
                <w:rFonts w:ascii="Verdana" w:hAnsi="Verdana"/>
                <w:sz w:val="22"/>
                <w:szCs w:val="22"/>
                <w:lang w:eastAsia="el-GR"/>
              </w:rPr>
            </w:pPr>
            <w:r w:rsidRPr="00A61430">
              <w:rPr>
                <w:rFonts w:ascii="Verdana" w:hAnsi="Verdana"/>
                <w:sz w:val="22"/>
                <w:szCs w:val="22"/>
                <w:lang w:eastAsia="el-GR"/>
              </w:rPr>
              <w:t>2.564</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eastAsia="el-GR"/>
              </w:rPr>
            </w:pPr>
            <w:r w:rsidRPr="00A61430">
              <w:rPr>
                <w:rFonts w:ascii="Verdana" w:hAnsi="Verdana"/>
                <w:sz w:val="22"/>
                <w:szCs w:val="22"/>
                <w:lang w:eastAsia="el-GR"/>
              </w:rPr>
              <w:t>1.761</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29230C" w:rsidP="00EF70AE">
            <w:pPr>
              <w:pStyle w:val="a6"/>
              <w:jc w:val="right"/>
              <w:rPr>
                <w:rFonts w:ascii="Verdana" w:hAnsi="Verdana"/>
                <w:sz w:val="22"/>
                <w:szCs w:val="22"/>
                <w:lang w:eastAsia="el-GR"/>
              </w:rPr>
            </w:pPr>
            <w:r>
              <w:rPr>
                <w:rFonts w:ascii="Verdana" w:hAnsi="Verdana"/>
                <w:sz w:val="22"/>
                <w:szCs w:val="22"/>
                <w:lang w:eastAsia="el-GR"/>
              </w:rPr>
              <w:t>2.432</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Δημοσιονομικό έλλειμμα (% Α.Ε.Π.)</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F46D32"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-1,</w:t>
            </w:r>
            <w:r w:rsidR="000A7D7A">
              <w:rPr>
                <w:rFonts w:ascii="Verdana" w:hAnsi="Verdana"/>
                <w:sz w:val="22"/>
                <w:szCs w:val="22"/>
                <w:lang w:val="el-GR" w:eastAsia="el-GR"/>
              </w:rPr>
              <w:t>6</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F46D32" w:rsidRDefault="000A7D7A" w:rsidP="008510C2">
            <w:pPr>
              <w:pStyle w:val="a6"/>
              <w:jc w:val="right"/>
              <w:rPr>
                <w:rFonts w:ascii="Verdana" w:hAnsi="Verdana"/>
                <w:sz w:val="22"/>
                <w:szCs w:val="22"/>
                <w:lang w:val="el-GR" w:eastAsia="el-GR"/>
              </w:rPr>
            </w:pPr>
            <w:r>
              <w:rPr>
                <w:rFonts w:ascii="Verdana" w:hAnsi="Verdana"/>
                <w:sz w:val="22"/>
                <w:szCs w:val="22"/>
                <w:lang w:val="el-GR" w:eastAsia="el-GR"/>
              </w:rPr>
              <w:t>-0,4</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F46D32" w:rsidRDefault="000A7D7A" w:rsidP="00EF70AE">
            <w:pPr>
              <w:pStyle w:val="a6"/>
              <w:jc w:val="right"/>
              <w:rPr>
                <w:rFonts w:ascii="Verdana" w:hAnsi="Verdana"/>
                <w:sz w:val="22"/>
                <w:szCs w:val="22"/>
                <w:lang w:val="el-GR" w:eastAsia="el-GR"/>
              </w:rPr>
            </w:pPr>
            <w:r>
              <w:rPr>
                <w:rFonts w:ascii="Verdana" w:hAnsi="Verdana"/>
                <w:sz w:val="22"/>
                <w:szCs w:val="22"/>
                <w:lang w:val="el-GR" w:eastAsia="el-GR"/>
              </w:rPr>
              <w:t>-0,3</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Δημόσιο χρέος (%  Α.Ε.Π.)</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A61430" w:rsidRDefault="000D24F7" w:rsidP="008510C2">
            <w:pPr>
              <w:pStyle w:val="a6"/>
              <w:jc w:val="right"/>
              <w:rPr>
                <w:rFonts w:ascii="Verdana" w:hAnsi="Verdana"/>
                <w:sz w:val="22"/>
                <w:szCs w:val="22"/>
                <w:lang w:eastAsia="el-GR"/>
              </w:rPr>
            </w:pPr>
            <w:r w:rsidRPr="00A61430">
              <w:rPr>
                <w:rFonts w:ascii="Verdana" w:hAnsi="Verdana"/>
                <w:sz w:val="22"/>
                <w:szCs w:val="22"/>
                <w:lang w:eastAsia="el-GR"/>
              </w:rPr>
              <w:t>22,5</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eastAsia="el-GR"/>
              </w:rPr>
            </w:pPr>
            <w:r w:rsidRPr="00A61430">
              <w:rPr>
                <w:rFonts w:ascii="Verdana" w:hAnsi="Verdana"/>
                <w:sz w:val="22"/>
                <w:szCs w:val="22"/>
                <w:lang w:eastAsia="el-GR"/>
              </w:rPr>
              <w:t>19,3</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852FB0" w:rsidP="00EF70AE">
            <w:pPr>
              <w:pStyle w:val="a6"/>
              <w:jc w:val="right"/>
              <w:rPr>
                <w:rFonts w:ascii="Verdana" w:hAnsi="Verdana"/>
                <w:sz w:val="22"/>
                <w:szCs w:val="22"/>
                <w:lang w:eastAsia="el-GR"/>
              </w:rPr>
            </w:pPr>
            <w:r>
              <w:rPr>
                <w:rFonts w:ascii="Verdana" w:hAnsi="Verdana"/>
                <w:sz w:val="22"/>
                <w:szCs w:val="22"/>
                <w:lang w:eastAsia="el-GR"/>
              </w:rPr>
              <w:t>18,9</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733A3" w:rsidRPr="0006405D" w:rsidRDefault="000D24F7" w:rsidP="00A61430">
            <w:pPr>
              <w:pStyle w:val="a6"/>
              <w:rPr>
                <w:rFonts w:ascii="Verdana" w:hAnsi="Verdana"/>
                <w:sz w:val="22"/>
                <w:szCs w:val="22"/>
                <w:lang w:val="el-GR" w:eastAsia="el-GR"/>
              </w:rPr>
            </w:pPr>
            <w:r w:rsidRPr="00A61430">
              <w:rPr>
                <w:rFonts w:ascii="Verdana" w:hAnsi="Verdana"/>
                <w:sz w:val="22"/>
                <w:szCs w:val="22"/>
                <w:lang w:val="el-GR" w:eastAsia="el-GR"/>
              </w:rPr>
              <w:t xml:space="preserve">Έλλειμμα Τρεχουσών Συναλλαγών </w:t>
            </w:r>
          </w:p>
          <w:p w:rsidR="000D24F7" w:rsidRPr="00A61430" w:rsidRDefault="000733A3" w:rsidP="00A61430">
            <w:pPr>
              <w:pStyle w:val="a6"/>
              <w:rPr>
                <w:rFonts w:ascii="Verdana" w:hAnsi="Verdana"/>
                <w:sz w:val="22"/>
                <w:szCs w:val="22"/>
                <w:lang w:val="el-GR" w:eastAsia="el-GR"/>
              </w:rPr>
            </w:pPr>
            <w:r w:rsidRPr="00A61430">
              <w:rPr>
                <w:rFonts w:ascii="Verdana" w:hAnsi="Verdana"/>
                <w:sz w:val="22"/>
                <w:szCs w:val="22"/>
                <w:lang w:val="el-GR"/>
              </w:rPr>
              <w:t>(% Α.Ε.Π.)</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4,0</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0733A3" w:rsidRDefault="000D24F7" w:rsidP="008510C2">
            <w:pPr>
              <w:pStyle w:val="a6"/>
              <w:jc w:val="right"/>
              <w:rPr>
                <w:rFonts w:ascii="Verdana" w:hAnsi="Verdana"/>
                <w:sz w:val="22"/>
                <w:szCs w:val="22"/>
                <w:lang w:eastAsia="el-GR"/>
              </w:rPr>
            </w:pPr>
            <w:r w:rsidRPr="00A61430">
              <w:rPr>
                <w:rFonts w:ascii="Verdana" w:hAnsi="Verdana"/>
                <w:sz w:val="22"/>
                <w:szCs w:val="22"/>
                <w:lang w:val="el-GR" w:eastAsia="el-GR"/>
              </w:rPr>
              <w:t>12,</w:t>
            </w:r>
            <w:r w:rsidR="000733A3">
              <w:rPr>
                <w:rFonts w:ascii="Verdana" w:hAnsi="Verdana"/>
                <w:sz w:val="22"/>
                <w:szCs w:val="22"/>
                <w:lang w:eastAsia="el-GR"/>
              </w:rPr>
              <w:t>8</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D24F7" w:rsidRPr="008637A5" w:rsidRDefault="008637A5" w:rsidP="00EF70AE">
            <w:pPr>
              <w:pStyle w:val="a6"/>
              <w:jc w:val="right"/>
              <w:rPr>
                <w:rFonts w:ascii="Verdana" w:hAnsi="Verdana"/>
                <w:sz w:val="22"/>
                <w:szCs w:val="22"/>
                <w:lang w:eastAsia="el-GR"/>
              </w:rPr>
            </w:pPr>
            <w:r>
              <w:rPr>
                <w:rFonts w:ascii="Verdana" w:hAnsi="Verdana"/>
                <w:sz w:val="22"/>
                <w:szCs w:val="22"/>
                <w:lang w:eastAsia="el-GR"/>
              </w:rPr>
              <w:t>9,2</w:t>
            </w:r>
          </w:p>
        </w:tc>
      </w:tr>
      <w:tr w:rsidR="000D24F7" w:rsidRPr="00A61430" w:rsidTr="007962C0">
        <w:trPr>
          <w:trHeight w:val="512"/>
        </w:trPr>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eastAsia="el-GR"/>
              </w:rPr>
            </w:pPr>
            <w:r w:rsidRPr="00A61430">
              <w:rPr>
                <w:rFonts w:ascii="Verdana" w:hAnsi="Verdana"/>
                <w:sz w:val="22"/>
                <w:szCs w:val="22"/>
                <w:lang w:val="el-GR"/>
              </w:rPr>
              <w:t xml:space="preserve">Συναλλαγματικά αποθέματα σε εκ. </w:t>
            </w:r>
            <w:r w:rsidRPr="00A61430">
              <w:rPr>
                <w:rFonts w:ascii="Verdana" w:hAnsi="Verdana"/>
                <w:sz w:val="22"/>
                <w:szCs w:val="22"/>
              </w:rPr>
              <w:t>US</w:t>
            </w:r>
            <w:r w:rsidRPr="00A61430">
              <w:rPr>
                <w:rFonts w:ascii="Verdana" w:hAnsi="Verdana"/>
                <w:sz w:val="22"/>
                <w:szCs w:val="22"/>
                <w:lang w:val="el-GR"/>
              </w:rPr>
              <w:t>$</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eastAsia="el-GR"/>
              </w:rPr>
            </w:pPr>
            <w:r w:rsidRPr="00A61430">
              <w:rPr>
                <w:rFonts w:ascii="Verdana" w:hAnsi="Verdana"/>
                <w:sz w:val="22"/>
                <w:szCs w:val="22"/>
                <w:lang w:eastAsia="el-GR"/>
              </w:rPr>
              <w:t>5.334</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0A7D7A" w:rsidRDefault="000D24F7" w:rsidP="008510C2">
            <w:pPr>
              <w:pStyle w:val="a6"/>
              <w:jc w:val="right"/>
              <w:rPr>
                <w:rFonts w:ascii="Verdana" w:hAnsi="Verdana"/>
                <w:sz w:val="22"/>
                <w:szCs w:val="22"/>
                <w:lang w:val="el-GR" w:eastAsia="el-GR"/>
              </w:rPr>
            </w:pPr>
            <w:r w:rsidRPr="00A61430">
              <w:rPr>
                <w:rFonts w:ascii="Verdana" w:hAnsi="Verdana"/>
                <w:sz w:val="22"/>
                <w:szCs w:val="22"/>
                <w:lang w:eastAsia="el-GR"/>
              </w:rPr>
              <w:t>5.62</w:t>
            </w:r>
            <w:r w:rsidR="000A7D7A">
              <w:rPr>
                <w:rFonts w:ascii="Verdana" w:hAnsi="Verdana"/>
                <w:sz w:val="22"/>
                <w:szCs w:val="22"/>
                <w:lang w:val="el-GR" w:eastAsia="el-GR"/>
              </w:rPr>
              <w:t>5</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A7D7A" w:rsidP="00EF70AE">
            <w:pPr>
              <w:pStyle w:val="a6"/>
              <w:jc w:val="right"/>
              <w:rPr>
                <w:rFonts w:ascii="Verdana" w:hAnsi="Verdana"/>
                <w:sz w:val="22"/>
                <w:szCs w:val="22"/>
                <w:lang w:eastAsia="el-GR"/>
              </w:rPr>
            </w:pPr>
            <w:r>
              <w:rPr>
                <w:rFonts w:ascii="Verdana" w:hAnsi="Verdana"/>
                <w:sz w:val="22"/>
                <w:szCs w:val="22"/>
                <w:lang w:eastAsia="el-GR"/>
              </w:rPr>
              <w:t>6.2</w:t>
            </w:r>
            <w:r>
              <w:rPr>
                <w:rFonts w:ascii="Verdana" w:hAnsi="Verdana"/>
                <w:sz w:val="22"/>
                <w:szCs w:val="22"/>
                <w:lang w:val="el-GR" w:eastAsia="el-GR"/>
              </w:rPr>
              <w:t>5</w:t>
            </w:r>
            <w:r w:rsidR="00374ECF">
              <w:rPr>
                <w:rFonts w:ascii="Verdana" w:hAnsi="Verdana"/>
                <w:sz w:val="22"/>
                <w:szCs w:val="22"/>
                <w:lang w:eastAsia="el-GR"/>
              </w:rPr>
              <w:t>8</w:t>
            </w:r>
          </w:p>
        </w:tc>
      </w:tr>
      <w:tr w:rsidR="000D24F7" w:rsidRPr="00A61430" w:rsidTr="007962C0">
        <w:trPr>
          <w:trHeight w:val="512"/>
        </w:trPr>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rPr>
            </w:pPr>
            <w:r w:rsidRPr="00A61430">
              <w:rPr>
                <w:rFonts w:ascii="Verdana" w:hAnsi="Verdana"/>
                <w:sz w:val="22"/>
                <w:szCs w:val="22"/>
                <w:lang w:val="el-GR"/>
              </w:rPr>
              <w:t xml:space="preserve">Μέσος μηνιαίος μισθός σε </w:t>
            </w:r>
            <w:proofErr w:type="spellStart"/>
            <w:r w:rsidRPr="00A61430">
              <w:rPr>
                <w:rFonts w:ascii="Verdana" w:hAnsi="Verdana"/>
                <w:sz w:val="22"/>
                <w:szCs w:val="22"/>
                <w:lang w:val="el-GR"/>
              </w:rPr>
              <w:t>Μανάτ</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529</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544</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7CFA" w:rsidRDefault="00A67CFA" w:rsidP="00EF70AE">
            <w:pPr>
              <w:pStyle w:val="a6"/>
              <w:jc w:val="right"/>
              <w:rPr>
                <w:rFonts w:ascii="Verdana" w:hAnsi="Verdana"/>
                <w:sz w:val="22"/>
                <w:szCs w:val="22"/>
                <w:lang w:eastAsia="el-GR"/>
              </w:rPr>
            </w:pPr>
            <w:r>
              <w:rPr>
                <w:rFonts w:ascii="Verdana" w:hAnsi="Verdana"/>
                <w:sz w:val="22"/>
                <w:szCs w:val="22"/>
                <w:lang w:eastAsia="el-GR"/>
              </w:rPr>
              <w:t>634</w:t>
            </w:r>
          </w:p>
        </w:tc>
      </w:tr>
      <w:tr w:rsidR="000D24F7" w:rsidRPr="00A61430" w:rsidTr="007962C0">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A61430">
            <w:pPr>
              <w:pStyle w:val="a6"/>
              <w:rPr>
                <w:rFonts w:ascii="Verdana" w:hAnsi="Verdana"/>
                <w:sz w:val="22"/>
                <w:szCs w:val="22"/>
                <w:lang w:val="el-GR"/>
              </w:rPr>
            </w:pPr>
            <w:r w:rsidRPr="00A61430">
              <w:rPr>
                <w:rFonts w:ascii="Verdana" w:hAnsi="Verdana"/>
                <w:sz w:val="22"/>
                <w:szCs w:val="22"/>
                <w:lang w:val="el-GR"/>
              </w:rPr>
              <w:t xml:space="preserve">Μέση ισοτιμία </w:t>
            </w:r>
            <w:proofErr w:type="spellStart"/>
            <w:r w:rsidRPr="00A61430">
              <w:rPr>
                <w:rFonts w:ascii="Verdana" w:hAnsi="Verdana"/>
                <w:sz w:val="22"/>
                <w:szCs w:val="22"/>
                <w:lang w:val="el-GR"/>
              </w:rPr>
              <w:t>Μανάτ</w:t>
            </w:r>
            <w:proofErr w:type="spellEnd"/>
            <w:r w:rsidRPr="00A61430">
              <w:rPr>
                <w:rFonts w:ascii="Verdana" w:hAnsi="Verdana"/>
                <w:sz w:val="22"/>
                <w:szCs w:val="22"/>
                <w:lang w:val="el-GR"/>
              </w:rPr>
              <w:t>/</w:t>
            </w:r>
            <w:r w:rsidRPr="00A61430">
              <w:rPr>
                <w:rFonts w:ascii="Verdana" w:hAnsi="Verdana"/>
                <w:sz w:val="22"/>
                <w:szCs w:val="22"/>
              </w:rPr>
              <w:t xml:space="preserve"> US</w:t>
            </w:r>
            <w:r w:rsidRPr="00A61430">
              <w:rPr>
                <w:rFonts w:ascii="Verdana" w:hAnsi="Verdana"/>
                <w:sz w:val="22"/>
                <w:szCs w:val="22"/>
                <w:lang w:val="el-GR"/>
              </w:rPr>
              <w:t>$</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1,72</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A61430" w:rsidRDefault="000D24F7" w:rsidP="008510C2">
            <w:pPr>
              <w:pStyle w:val="a6"/>
              <w:jc w:val="right"/>
              <w:rPr>
                <w:rFonts w:ascii="Verdana" w:hAnsi="Verdana"/>
                <w:sz w:val="22"/>
                <w:szCs w:val="22"/>
                <w:lang w:val="el-GR" w:eastAsia="el-GR"/>
              </w:rPr>
            </w:pPr>
            <w:r w:rsidRPr="00A61430">
              <w:rPr>
                <w:rFonts w:ascii="Verdana" w:hAnsi="Verdana"/>
                <w:sz w:val="22"/>
                <w:szCs w:val="22"/>
                <w:lang w:val="el-GR" w:eastAsia="el-GR"/>
              </w:rPr>
              <w:t>1,70</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4F7" w:rsidRPr="00F72C3A" w:rsidRDefault="00F72C3A" w:rsidP="00EF70AE">
            <w:pPr>
              <w:pStyle w:val="a6"/>
              <w:jc w:val="right"/>
              <w:rPr>
                <w:rFonts w:ascii="Verdana" w:hAnsi="Verdana"/>
                <w:sz w:val="22"/>
                <w:szCs w:val="22"/>
                <w:lang w:eastAsia="el-GR"/>
              </w:rPr>
            </w:pPr>
            <w:r>
              <w:rPr>
                <w:rFonts w:ascii="Verdana" w:hAnsi="Verdana"/>
                <w:sz w:val="22"/>
                <w:szCs w:val="22"/>
                <w:lang w:eastAsia="el-GR"/>
              </w:rPr>
              <w:t>1,70</w:t>
            </w:r>
          </w:p>
        </w:tc>
      </w:tr>
      <w:tr w:rsidR="000D24F7" w:rsidRPr="00A61430" w:rsidTr="0043440A">
        <w:tc>
          <w:tcPr>
            <w:tcW w:w="4770" w:type="dxa"/>
            <w:tcBorders>
              <w:top w:val="single" w:sz="4" w:space="0" w:color="auto"/>
              <w:left w:val="single" w:sz="4" w:space="0" w:color="auto"/>
              <w:bottom w:val="single" w:sz="4" w:space="0" w:color="auto"/>
              <w:right w:val="single" w:sz="4" w:space="0" w:color="auto"/>
            </w:tcBorders>
            <w:hideMark/>
          </w:tcPr>
          <w:p w:rsidR="000D24F7" w:rsidRPr="00A61430" w:rsidRDefault="000D24F7" w:rsidP="00A61430">
            <w:pPr>
              <w:pStyle w:val="a6"/>
              <w:rPr>
                <w:rFonts w:ascii="Verdana" w:hAnsi="Verdana"/>
                <w:sz w:val="22"/>
                <w:szCs w:val="22"/>
                <w:lang w:val="el-GR"/>
              </w:rPr>
            </w:pPr>
          </w:p>
        </w:tc>
        <w:tc>
          <w:tcPr>
            <w:tcW w:w="1440" w:type="dxa"/>
            <w:tcBorders>
              <w:top w:val="single" w:sz="4" w:space="0" w:color="auto"/>
              <w:left w:val="single" w:sz="4" w:space="0" w:color="auto"/>
              <w:bottom w:val="single" w:sz="4" w:space="0" w:color="auto"/>
              <w:right w:val="single" w:sz="4" w:space="0" w:color="auto"/>
            </w:tcBorders>
            <w:hideMark/>
          </w:tcPr>
          <w:p w:rsidR="000D24F7" w:rsidRPr="00A61430" w:rsidRDefault="000D24F7" w:rsidP="00A61430">
            <w:pPr>
              <w:pStyle w:val="a6"/>
              <w:rPr>
                <w:rFonts w:ascii="Verdana" w:hAnsi="Verdana"/>
                <w:sz w:val="22"/>
                <w:szCs w:val="22"/>
                <w:lang w:val="el-GR" w:eastAsia="el-GR"/>
              </w:rPr>
            </w:pPr>
          </w:p>
        </w:tc>
        <w:tc>
          <w:tcPr>
            <w:tcW w:w="1530" w:type="dxa"/>
            <w:tcBorders>
              <w:top w:val="single" w:sz="4" w:space="0" w:color="auto"/>
              <w:left w:val="single" w:sz="4" w:space="0" w:color="auto"/>
              <w:bottom w:val="single" w:sz="4" w:space="0" w:color="auto"/>
              <w:right w:val="single" w:sz="4" w:space="0" w:color="auto"/>
            </w:tcBorders>
            <w:hideMark/>
          </w:tcPr>
          <w:p w:rsidR="000D24F7" w:rsidRPr="00A61430" w:rsidRDefault="000D24F7" w:rsidP="00A61430">
            <w:pPr>
              <w:pStyle w:val="a6"/>
              <w:rPr>
                <w:rFonts w:ascii="Verdana" w:hAnsi="Verdana"/>
                <w:sz w:val="22"/>
                <w:szCs w:val="22"/>
                <w:lang w:val="el-GR" w:eastAsia="el-GR"/>
              </w:rPr>
            </w:pPr>
          </w:p>
        </w:tc>
        <w:tc>
          <w:tcPr>
            <w:tcW w:w="1350" w:type="dxa"/>
            <w:tcBorders>
              <w:top w:val="single" w:sz="4" w:space="0" w:color="auto"/>
              <w:left w:val="single" w:sz="4" w:space="0" w:color="auto"/>
              <w:bottom w:val="single" w:sz="4" w:space="0" w:color="auto"/>
              <w:right w:val="single" w:sz="4" w:space="0" w:color="auto"/>
            </w:tcBorders>
            <w:hideMark/>
          </w:tcPr>
          <w:p w:rsidR="000D24F7" w:rsidRPr="00A61430" w:rsidRDefault="000D24F7" w:rsidP="00A61430">
            <w:pPr>
              <w:pStyle w:val="a6"/>
              <w:rPr>
                <w:rFonts w:ascii="Verdana" w:hAnsi="Verdana"/>
                <w:sz w:val="22"/>
                <w:szCs w:val="22"/>
                <w:lang w:val="el-GR" w:eastAsia="el-GR"/>
              </w:rPr>
            </w:pPr>
          </w:p>
        </w:tc>
      </w:tr>
    </w:tbl>
    <w:bookmarkEnd w:id="1"/>
    <w:p w:rsidR="006E4EC8" w:rsidRDefault="00AC4755" w:rsidP="00AC4755">
      <w:pPr>
        <w:pStyle w:val="2"/>
        <w:numPr>
          <w:ilvl w:val="0"/>
          <w:numId w:val="0"/>
        </w:numPr>
        <w:ind w:left="576" w:hanging="576"/>
        <w:jc w:val="both"/>
        <w:rPr>
          <w:rFonts w:ascii="Verdana" w:hAnsi="Verdana"/>
          <w:b w:val="0"/>
          <w:color w:val="auto"/>
          <w:sz w:val="22"/>
          <w:szCs w:val="22"/>
        </w:rPr>
      </w:pPr>
      <w:r w:rsidRPr="007028E2">
        <w:rPr>
          <w:rFonts w:ascii="Verdana" w:hAnsi="Verdana"/>
          <w:color w:val="auto"/>
          <w:sz w:val="22"/>
          <w:szCs w:val="22"/>
        </w:rPr>
        <w:t>ΠΗΓΕΣ:</w:t>
      </w:r>
      <w:r w:rsidRPr="00AC4755">
        <w:rPr>
          <w:rFonts w:ascii="Verdana" w:hAnsi="Verdana"/>
          <w:b w:val="0"/>
          <w:color w:val="auto"/>
          <w:sz w:val="22"/>
          <w:szCs w:val="22"/>
        </w:rPr>
        <w:t xml:space="preserve"> </w:t>
      </w:r>
      <w:r w:rsidR="006E4EC8">
        <w:rPr>
          <w:rFonts w:ascii="Verdana" w:hAnsi="Verdana"/>
          <w:b w:val="0"/>
          <w:color w:val="auto"/>
          <w:sz w:val="22"/>
          <w:szCs w:val="22"/>
        </w:rPr>
        <w:t xml:space="preserve"> </w:t>
      </w:r>
      <w:r w:rsidRPr="00AC4755">
        <w:rPr>
          <w:rFonts w:ascii="Verdana" w:hAnsi="Verdana"/>
          <w:b w:val="0"/>
          <w:color w:val="auto"/>
          <w:sz w:val="22"/>
          <w:szCs w:val="22"/>
        </w:rPr>
        <w:t>Στατιστική Υπηρεσία Αζερμπαϊτζάν</w:t>
      </w:r>
      <w:r>
        <w:rPr>
          <w:rFonts w:ascii="Verdana" w:hAnsi="Verdana"/>
          <w:b w:val="0"/>
          <w:color w:val="auto"/>
          <w:sz w:val="22"/>
          <w:szCs w:val="22"/>
        </w:rPr>
        <w:t xml:space="preserve">, </w:t>
      </w:r>
      <w:r w:rsidR="006E4EC8">
        <w:rPr>
          <w:rFonts w:ascii="Verdana" w:hAnsi="Verdana"/>
          <w:b w:val="0"/>
          <w:color w:val="auto"/>
          <w:sz w:val="22"/>
          <w:szCs w:val="22"/>
        </w:rPr>
        <w:t xml:space="preserve">Κεντρική Τράπεζα </w:t>
      </w:r>
      <w:r w:rsidR="006E4EC8" w:rsidRPr="00AC4755">
        <w:rPr>
          <w:rFonts w:ascii="Verdana" w:hAnsi="Verdana"/>
          <w:b w:val="0"/>
          <w:color w:val="auto"/>
          <w:sz w:val="22"/>
          <w:szCs w:val="22"/>
        </w:rPr>
        <w:t>Αζερμπαϊτζάν</w:t>
      </w:r>
      <w:r w:rsidR="006E4EC8">
        <w:rPr>
          <w:rFonts w:ascii="Verdana" w:hAnsi="Verdana"/>
          <w:b w:val="0"/>
          <w:color w:val="auto"/>
          <w:sz w:val="22"/>
          <w:szCs w:val="22"/>
        </w:rPr>
        <w:t>,</w:t>
      </w:r>
    </w:p>
    <w:p w:rsidR="007028E2" w:rsidRPr="00B7100C" w:rsidRDefault="006E4EC8" w:rsidP="00B77A63">
      <w:pPr>
        <w:pStyle w:val="2"/>
        <w:numPr>
          <w:ilvl w:val="0"/>
          <w:numId w:val="0"/>
        </w:numPr>
        <w:ind w:left="576" w:hanging="576"/>
        <w:jc w:val="both"/>
      </w:pPr>
      <w:r>
        <w:rPr>
          <w:rFonts w:ascii="Verdana" w:hAnsi="Verdana"/>
          <w:color w:val="auto"/>
          <w:sz w:val="22"/>
          <w:szCs w:val="22"/>
        </w:rPr>
        <w:t xml:space="preserve">           </w:t>
      </w:r>
      <w:r>
        <w:rPr>
          <w:rFonts w:ascii="Verdana" w:hAnsi="Verdana"/>
          <w:b w:val="0"/>
          <w:color w:val="auto"/>
          <w:sz w:val="22"/>
          <w:szCs w:val="22"/>
        </w:rPr>
        <w:t xml:space="preserve">   IMF, </w:t>
      </w:r>
      <w:r w:rsidR="00AC4755">
        <w:rPr>
          <w:rFonts w:ascii="Verdana" w:hAnsi="Verdana"/>
          <w:b w:val="0"/>
          <w:color w:val="auto"/>
          <w:sz w:val="22"/>
          <w:szCs w:val="22"/>
        </w:rPr>
        <w:t xml:space="preserve">World </w:t>
      </w:r>
      <w:r w:rsidR="00AC4755">
        <w:rPr>
          <w:rFonts w:ascii="Verdana" w:hAnsi="Verdana"/>
          <w:b w:val="0"/>
          <w:color w:val="auto"/>
          <w:sz w:val="22"/>
          <w:szCs w:val="22"/>
          <w:lang w:val="en-US"/>
        </w:rPr>
        <w:t>Bank</w:t>
      </w:r>
      <w:r w:rsidR="00AC4755" w:rsidRPr="00AC4755">
        <w:rPr>
          <w:rFonts w:ascii="Verdana" w:hAnsi="Verdana"/>
          <w:b w:val="0"/>
          <w:color w:val="auto"/>
          <w:sz w:val="22"/>
          <w:szCs w:val="22"/>
        </w:rPr>
        <w:t>,</w:t>
      </w:r>
      <w:r>
        <w:rPr>
          <w:rFonts w:ascii="Verdana" w:hAnsi="Verdana"/>
          <w:b w:val="0"/>
          <w:color w:val="auto"/>
          <w:sz w:val="22"/>
          <w:szCs w:val="22"/>
        </w:rPr>
        <w:t xml:space="preserve"> </w:t>
      </w:r>
      <w:r w:rsidR="00AC4755">
        <w:rPr>
          <w:rFonts w:ascii="Verdana" w:hAnsi="Verdana"/>
          <w:b w:val="0"/>
          <w:color w:val="auto"/>
          <w:sz w:val="22"/>
          <w:szCs w:val="22"/>
          <w:lang w:val="en-US"/>
        </w:rPr>
        <w:t>UNCTAD</w:t>
      </w:r>
    </w:p>
    <w:p w:rsidR="007028E2" w:rsidRPr="00B7100C" w:rsidRDefault="007028E2" w:rsidP="007028E2"/>
    <w:p w:rsidR="007962C0" w:rsidRDefault="007962C0" w:rsidP="00254E95">
      <w:pPr>
        <w:rPr>
          <w:rFonts w:ascii="Verdana" w:hAnsi="Verdana"/>
          <w:b/>
          <w:color w:val="002060"/>
          <w:sz w:val="24"/>
          <w:szCs w:val="24"/>
        </w:rPr>
      </w:pPr>
    </w:p>
    <w:p w:rsidR="001D6F88" w:rsidRPr="00254E95" w:rsidRDefault="00573903" w:rsidP="00254E95">
      <w:pPr>
        <w:rPr>
          <w:rFonts w:ascii="Verdana" w:hAnsi="Verdana"/>
          <w:b/>
          <w:color w:val="002060"/>
          <w:sz w:val="24"/>
          <w:szCs w:val="24"/>
        </w:rPr>
      </w:pPr>
      <w:r w:rsidRPr="00254E95">
        <w:rPr>
          <w:rFonts w:ascii="Verdana" w:hAnsi="Verdana"/>
          <w:b/>
          <w:color w:val="002060"/>
          <w:sz w:val="24"/>
          <w:szCs w:val="24"/>
        </w:rPr>
        <w:lastRenderedPageBreak/>
        <w:t xml:space="preserve">2. </w:t>
      </w:r>
      <w:r w:rsidR="00C14803" w:rsidRPr="00254E95">
        <w:rPr>
          <w:rFonts w:ascii="Verdana" w:hAnsi="Verdana"/>
          <w:b/>
          <w:color w:val="002060"/>
          <w:sz w:val="24"/>
          <w:szCs w:val="24"/>
        </w:rPr>
        <w:t>ΕΠΙΣΚΟΠΗΣΗ ΤΗΣ ΟΙΚΟΝΟΜΙΑΣ</w:t>
      </w:r>
    </w:p>
    <w:p w:rsidR="00437E75" w:rsidRPr="00A61430" w:rsidRDefault="00437E75" w:rsidP="00A61430">
      <w:pPr>
        <w:jc w:val="both"/>
        <w:rPr>
          <w:rFonts w:ascii="Verdana" w:hAnsi="Verdana"/>
        </w:rPr>
      </w:pPr>
      <w:r w:rsidRPr="00A61430">
        <w:rPr>
          <w:rFonts w:ascii="Verdana" w:hAnsi="Verdana"/>
        </w:rPr>
        <w:t>Το Αζερμπαϊτζάν δεν είναι πλούσια χώρα, όπως προδια</w:t>
      </w:r>
      <w:r w:rsidR="00BE2DDE">
        <w:rPr>
          <w:rFonts w:ascii="Verdana" w:hAnsi="Verdana"/>
        </w:rPr>
        <w:t xml:space="preserve">θέτουν η σχετική επίφαση πλούτου </w:t>
      </w:r>
      <w:r w:rsidRPr="00A61430">
        <w:rPr>
          <w:rFonts w:ascii="Verdana" w:hAnsi="Verdana"/>
        </w:rPr>
        <w:t>που παρατηρείται στην πρωτεύουσα Μπακού και γεγονότα επικοινωνιακού</w:t>
      </w:r>
      <w:r w:rsidR="00BE2DDE">
        <w:rPr>
          <w:rFonts w:ascii="Verdana" w:hAnsi="Verdana"/>
        </w:rPr>
        <w:t xml:space="preserve"> χαρακτήρα (</w:t>
      </w:r>
      <w:proofErr w:type="spellStart"/>
      <w:r w:rsidR="00BE2DDE">
        <w:rPr>
          <w:rFonts w:ascii="Verdana" w:hAnsi="Verdana"/>
        </w:rPr>
        <w:t>Eurovision</w:t>
      </w:r>
      <w:proofErr w:type="spellEnd"/>
      <w:r w:rsidR="00BE2DDE">
        <w:rPr>
          <w:rFonts w:ascii="Verdana" w:hAnsi="Verdana"/>
        </w:rPr>
        <w:t xml:space="preserve">, </w:t>
      </w:r>
      <w:proofErr w:type="spellStart"/>
      <w:r w:rsidR="00BE2DDE">
        <w:rPr>
          <w:rFonts w:ascii="Verdana" w:hAnsi="Verdana"/>
        </w:rPr>
        <w:t>formula</w:t>
      </w:r>
      <w:proofErr w:type="spellEnd"/>
      <w:r w:rsidR="00BE2DDE">
        <w:rPr>
          <w:rFonts w:ascii="Verdana" w:hAnsi="Verdana"/>
        </w:rPr>
        <w:t xml:space="preserve"> 1 </w:t>
      </w:r>
      <w:proofErr w:type="spellStart"/>
      <w:r w:rsidR="00BE2DDE">
        <w:rPr>
          <w:rFonts w:ascii="Verdana" w:hAnsi="Verdana"/>
        </w:rPr>
        <w:t>κλπ</w:t>
      </w:r>
      <w:proofErr w:type="spellEnd"/>
      <w:r w:rsidRPr="00A61430">
        <w:rPr>
          <w:rFonts w:ascii="Verdana" w:hAnsi="Verdana"/>
        </w:rPr>
        <w:t>)</w:t>
      </w:r>
      <w:r w:rsidR="009018E1">
        <w:rPr>
          <w:rFonts w:ascii="Verdana" w:hAnsi="Verdana"/>
        </w:rPr>
        <w:t>.</w:t>
      </w:r>
      <w:r w:rsidRPr="00A61430">
        <w:rPr>
          <w:rFonts w:ascii="Verdana" w:hAnsi="Verdana"/>
        </w:rPr>
        <w:t xml:space="preserve"> Ο διαθέσιμος πλούτος και </w:t>
      </w:r>
      <w:proofErr w:type="spellStart"/>
      <w:r w:rsidRPr="00A61430">
        <w:rPr>
          <w:rFonts w:ascii="Verdana" w:hAnsi="Verdana"/>
        </w:rPr>
        <w:t>κατ΄επέκταση</w:t>
      </w:r>
      <w:proofErr w:type="spellEnd"/>
      <w:r w:rsidRPr="00A61430">
        <w:rPr>
          <w:rFonts w:ascii="Verdana" w:hAnsi="Verdana"/>
        </w:rPr>
        <w:t xml:space="preserve"> η καταναλωτική δυνατότητα συγκεντρώνεται στα 40-50.000 μέλη της άρχουσας τάξεως (δηλαδή το 0,5% του πληθυσμού). </w:t>
      </w:r>
      <w:r w:rsidRPr="00F22295">
        <w:rPr>
          <w:rFonts w:ascii="Verdana" w:hAnsi="Verdana"/>
          <w:b/>
        </w:rPr>
        <w:t xml:space="preserve">Σε ένα καθεστώς </w:t>
      </w:r>
      <w:proofErr w:type="spellStart"/>
      <w:r w:rsidRPr="00F22295">
        <w:rPr>
          <w:rFonts w:ascii="Verdana" w:hAnsi="Verdana"/>
          <w:b/>
        </w:rPr>
        <w:t>ημικρατικής</w:t>
      </w:r>
      <w:proofErr w:type="spellEnd"/>
      <w:r w:rsidRPr="00F22295">
        <w:rPr>
          <w:rFonts w:ascii="Verdana" w:hAnsi="Verdana"/>
          <w:b/>
        </w:rPr>
        <w:t xml:space="preserve"> οικονομίας κυριαρχούν μονοπώλια και ολιγοπώλια, με ισχυρές διασυνδέσεις και αλληλεξαρτήσεις από το συγκεντρωτικό πολιτικοοικονομικό σύστημα</w:t>
      </w:r>
      <w:r w:rsidRPr="00A61430">
        <w:rPr>
          <w:rFonts w:ascii="Verdana" w:hAnsi="Verdana"/>
        </w:rPr>
        <w:t>.</w:t>
      </w:r>
      <w:r w:rsidRPr="00A61430">
        <w:rPr>
          <w:rFonts w:ascii="Verdana" w:eastAsia="Times New Roman" w:hAnsi="Verdana" w:cs="Times New Roman"/>
          <w:lang w:val="en-US"/>
        </w:rPr>
        <w:t>T</w:t>
      </w:r>
      <w:r w:rsidRPr="00A61430">
        <w:rPr>
          <w:rFonts w:ascii="Verdana" w:eastAsia="Times New Roman" w:hAnsi="Verdana" w:cs="Times New Roman"/>
        </w:rPr>
        <w:t>α οικονομικά κριτήρια δεν είναι τα μόνα</w:t>
      </w:r>
      <w:r w:rsidR="00F22295">
        <w:rPr>
          <w:rFonts w:ascii="Verdana" w:eastAsia="Times New Roman" w:hAnsi="Verdana" w:cs="Times New Roman"/>
        </w:rPr>
        <w:t>,</w:t>
      </w:r>
      <w:r w:rsidRPr="00A61430">
        <w:rPr>
          <w:rFonts w:ascii="Verdana" w:eastAsia="Times New Roman" w:hAnsi="Verdana" w:cs="Times New Roman"/>
        </w:rPr>
        <w:t xml:space="preserve"> τα οποία λαμβάνονται υπόψη </w:t>
      </w:r>
      <w:r w:rsidRPr="00A61430">
        <w:rPr>
          <w:rFonts w:ascii="Verdana" w:hAnsi="Verdana"/>
        </w:rPr>
        <w:t xml:space="preserve">από τους αποφασίζοντες </w:t>
      </w:r>
      <w:r w:rsidRPr="00A61430">
        <w:rPr>
          <w:rFonts w:ascii="Verdana" w:eastAsia="Times New Roman" w:hAnsi="Verdana" w:cs="Times New Roman"/>
        </w:rPr>
        <w:t xml:space="preserve">π.χ. κρατικές εταιρείες τύπου </w:t>
      </w:r>
      <w:r w:rsidRPr="00A61430">
        <w:rPr>
          <w:rFonts w:ascii="Verdana" w:eastAsia="Times New Roman" w:hAnsi="Verdana" w:cs="Times New Roman"/>
          <w:lang w:val="en-US"/>
        </w:rPr>
        <w:t>SOCAR</w:t>
      </w:r>
      <w:r w:rsidRPr="00A61430">
        <w:rPr>
          <w:rFonts w:ascii="Verdana" w:eastAsia="Times New Roman" w:hAnsi="Verdana" w:cs="Times New Roman"/>
        </w:rPr>
        <w:t xml:space="preserve">- και, τελικά, μόνον οι χώρες με αυξημένο «ειδικό βάρος» </w:t>
      </w:r>
      <w:r w:rsidR="006E4EC8">
        <w:rPr>
          <w:rFonts w:ascii="Verdana" w:eastAsia="Times New Roman" w:hAnsi="Verdana" w:cs="Times New Roman"/>
        </w:rPr>
        <w:t xml:space="preserve">και προνομιακές σχέσεις </w:t>
      </w:r>
      <w:r w:rsidRPr="00A61430">
        <w:rPr>
          <w:rFonts w:ascii="Verdana" w:eastAsia="Times New Roman" w:hAnsi="Verdana" w:cs="Times New Roman"/>
        </w:rPr>
        <w:t xml:space="preserve">απολαμβάνουν επαρκή </w:t>
      </w:r>
      <w:r w:rsidR="00F22295">
        <w:rPr>
          <w:rFonts w:ascii="Verdana" w:eastAsia="Times New Roman" w:hAnsi="Verdana" w:cs="Times New Roman"/>
        </w:rPr>
        <w:t xml:space="preserve">οικονομική και εμπορική </w:t>
      </w:r>
      <w:r w:rsidRPr="00A61430">
        <w:rPr>
          <w:rFonts w:ascii="Verdana" w:eastAsia="Times New Roman" w:hAnsi="Verdana" w:cs="Times New Roman"/>
        </w:rPr>
        <w:t>διείσδυση (</w:t>
      </w:r>
      <w:r w:rsidRPr="00A61430">
        <w:rPr>
          <w:rFonts w:ascii="Verdana" w:eastAsia="Times New Roman" w:hAnsi="Verdana" w:cs="Times New Roman"/>
          <w:lang w:val="en-US"/>
        </w:rPr>
        <w:t>market</w:t>
      </w:r>
      <w:r w:rsidRPr="00A61430">
        <w:rPr>
          <w:rFonts w:ascii="Verdana" w:eastAsia="Times New Roman" w:hAnsi="Verdana" w:cs="Times New Roman"/>
        </w:rPr>
        <w:t xml:space="preserve"> </w:t>
      </w:r>
      <w:r w:rsidRPr="00A61430">
        <w:rPr>
          <w:rFonts w:ascii="Verdana" w:eastAsia="Times New Roman" w:hAnsi="Verdana" w:cs="Times New Roman"/>
          <w:lang w:val="en-US"/>
        </w:rPr>
        <w:t>penetration</w:t>
      </w:r>
      <w:r w:rsidRPr="00A61430">
        <w:rPr>
          <w:rFonts w:ascii="Verdana" w:hAnsi="Verdana"/>
        </w:rPr>
        <w:t>).</w:t>
      </w:r>
    </w:p>
    <w:p w:rsidR="00E5340B" w:rsidRPr="00E5340B" w:rsidRDefault="001C3800" w:rsidP="00A61430">
      <w:pPr>
        <w:jc w:val="both"/>
        <w:rPr>
          <w:rFonts w:ascii="Verdana" w:hAnsi="Verdana"/>
          <w:b/>
          <w:bCs/>
        </w:rPr>
      </w:pPr>
      <w:r w:rsidRPr="00A61430">
        <w:rPr>
          <w:rFonts w:ascii="Verdana" w:eastAsia="Times New Roman" w:hAnsi="Verdana" w:cs="Times New Roman"/>
          <w:b/>
        </w:rPr>
        <w:t>Η χώρα διαθέτει σημαντικές πλουτοπαραγωγικές πηγές και κομβική για την ευρύτερη περιοχή γεωγραφική θέση.</w:t>
      </w:r>
      <w:r w:rsidRPr="00A61430">
        <w:rPr>
          <w:rFonts w:ascii="Verdana" w:eastAsia="Times New Roman" w:hAnsi="Verdana" w:cs="Times New Roman"/>
        </w:rPr>
        <w:t xml:space="preserve"> Υπάρχουν αξιόλογα αποθέματα πετρελαίου, φυσικού αερίου και βωξίτη</w:t>
      </w:r>
      <w:r w:rsidR="00BE2DDE">
        <w:rPr>
          <w:rFonts w:ascii="Verdana" w:eastAsia="Times New Roman" w:hAnsi="Verdana" w:cs="Times New Roman"/>
        </w:rPr>
        <w:t>,</w:t>
      </w:r>
      <w:r w:rsidRPr="00A61430">
        <w:rPr>
          <w:rFonts w:ascii="Verdana" w:eastAsia="Times New Roman" w:hAnsi="Verdana" w:cs="Times New Roman"/>
        </w:rPr>
        <w:t xml:space="preserve"> ενώ εντατικές είναι οι προσπάθειες τη τελευταία δεκαετία για ανάπτυξη του μη πετρελαϊκού τομέα. </w:t>
      </w:r>
      <w:r w:rsidR="00230548" w:rsidRPr="00A61430">
        <w:rPr>
          <w:rFonts w:ascii="Verdana" w:eastAsia="Times New Roman" w:hAnsi="Verdana" w:cs="Times New Roman"/>
        </w:rPr>
        <w:t xml:space="preserve">Αρχής γενομένης από τη λειτουργία των αγωγών πετρελαίου </w:t>
      </w:r>
      <w:r w:rsidR="00230548" w:rsidRPr="00A61430">
        <w:rPr>
          <w:rFonts w:ascii="Verdana" w:eastAsia="Times New Roman" w:hAnsi="Verdana" w:cs="Times New Roman"/>
          <w:lang w:val="en-US"/>
        </w:rPr>
        <w:t>BTC</w:t>
      </w:r>
      <w:r w:rsidR="00230548" w:rsidRPr="00A61430">
        <w:rPr>
          <w:rFonts w:ascii="Verdana" w:eastAsia="Times New Roman" w:hAnsi="Verdana" w:cs="Times New Roman"/>
        </w:rPr>
        <w:t xml:space="preserve"> και αερίου </w:t>
      </w:r>
      <w:r w:rsidR="00230548" w:rsidRPr="00A61430">
        <w:rPr>
          <w:rFonts w:ascii="Verdana" w:eastAsia="Times New Roman" w:hAnsi="Verdana" w:cs="Times New Roman"/>
          <w:lang w:val="en-US"/>
        </w:rPr>
        <w:t>SCP</w:t>
      </w:r>
      <w:r w:rsidR="00230548" w:rsidRPr="00A61430">
        <w:rPr>
          <w:rFonts w:ascii="Verdana" w:eastAsia="Times New Roman" w:hAnsi="Verdana" w:cs="Times New Roman"/>
        </w:rPr>
        <w:t xml:space="preserve">, η χώρα αποτελεί τυπική περίπτωση </w:t>
      </w:r>
      <w:r w:rsidR="00230548" w:rsidRPr="00A61430">
        <w:rPr>
          <w:rFonts w:ascii="Verdana" w:eastAsia="Times New Roman" w:hAnsi="Verdana" w:cs="Times New Roman"/>
          <w:i/>
          <w:iCs/>
        </w:rPr>
        <w:t>«κράτους-εισοδηματία»</w:t>
      </w:r>
      <w:r w:rsidR="00BE2DDE">
        <w:rPr>
          <w:rFonts w:ascii="Verdana" w:eastAsia="Times New Roman" w:hAnsi="Verdana" w:cs="Times New Roman"/>
          <w:i/>
          <w:iCs/>
        </w:rPr>
        <w:t xml:space="preserve"> </w:t>
      </w:r>
      <w:r w:rsidR="00230548" w:rsidRPr="00A61430">
        <w:rPr>
          <w:rFonts w:ascii="Verdana" w:eastAsia="Times New Roman" w:hAnsi="Verdana" w:cs="Times New Roman"/>
        </w:rPr>
        <w:t>(</w:t>
      </w:r>
      <w:proofErr w:type="spellStart"/>
      <w:r w:rsidR="00230548" w:rsidRPr="00A61430">
        <w:rPr>
          <w:rFonts w:ascii="Verdana" w:eastAsia="Times New Roman" w:hAnsi="Verdana" w:cs="Times New Roman"/>
        </w:rPr>
        <w:t>rentier</w:t>
      </w:r>
      <w:proofErr w:type="spellEnd"/>
      <w:r w:rsidR="00230548" w:rsidRPr="00A61430">
        <w:rPr>
          <w:rFonts w:ascii="Verdana" w:eastAsia="Times New Roman" w:hAnsi="Verdana" w:cs="Times New Roman"/>
        </w:rPr>
        <w:t xml:space="preserve"> </w:t>
      </w:r>
      <w:proofErr w:type="spellStart"/>
      <w:r w:rsidR="00230548" w:rsidRPr="00A61430">
        <w:rPr>
          <w:rFonts w:ascii="Verdana" w:eastAsia="Times New Roman" w:hAnsi="Verdana" w:cs="Times New Roman"/>
        </w:rPr>
        <w:t>state</w:t>
      </w:r>
      <w:proofErr w:type="spellEnd"/>
      <w:r w:rsidR="00230548" w:rsidRPr="00A61430">
        <w:rPr>
          <w:rFonts w:ascii="Verdana" w:eastAsia="Times New Roman" w:hAnsi="Verdana" w:cs="Times New Roman"/>
        </w:rPr>
        <w:t>).</w:t>
      </w:r>
      <w:r w:rsidR="00BE2DDE">
        <w:rPr>
          <w:rFonts w:ascii="Verdana" w:eastAsia="Times New Roman" w:hAnsi="Verdana" w:cs="Times New Roman"/>
        </w:rPr>
        <w:t xml:space="preserve"> </w:t>
      </w:r>
      <w:r w:rsidR="00230548" w:rsidRPr="00036C3C">
        <w:rPr>
          <w:rFonts w:ascii="Verdana" w:eastAsia="Times New Roman" w:hAnsi="Verdana" w:cs="Times New Roman"/>
          <w:b/>
        </w:rPr>
        <w:t xml:space="preserve">Τα </w:t>
      </w:r>
      <w:r w:rsidR="00E708DF">
        <w:rPr>
          <w:rFonts w:ascii="Verdana" w:eastAsia="Times New Roman" w:hAnsi="Verdana" w:cs="Times New Roman"/>
          <w:b/>
        </w:rPr>
        <w:t>κράτη-εισοδηματίες</w:t>
      </w:r>
      <w:r w:rsidR="00230548" w:rsidRPr="00036C3C">
        <w:rPr>
          <w:rFonts w:ascii="Verdana" w:eastAsia="Times New Roman" w:hAnsi="Verdana" w:cs="Times New Roman"/>
          <w:b/>
        </w:rPr>
        <w:t xml:space="preserve"> στηρίζονται σε μια εξωτερική, ως προς την κυρίως οικονομική δραστηριότητα, πρόσοδο -</w:t>
      </w:r>
      <w:r w:rsidR="00BE2DDE">
        <w:rPr>
          <w:rFonts w:ascii="Verdana" w:eastAsia="Times New Roman" w:hAnsi="Verdana" w:cs="Times New Roman"/>
          <w:b/>
        </w:rPr>
        <w:t xml:space="preserve"> </w:t>
      </w:r>
      <w:r w:rsidR="00230548" w:rsidRPr="00036C3C">
        <w:rPr>
          <w:rFonts w:ascii="Verdana" w:eastAsia="Times New Roman" w:hAnsi="Verdana" w:cs="Times New Roman"/>
          <w:b/>
        </w:rPr>
        <w:t>εξαγωγές υδρογονανθράκων</w:t>
      </w:r>
      <w:r w:rsidR="00E708DF">
        <w:rPr>
          <w:rFonts w:ascii="Verdana" w:eastAsia="Times New Roman" w:hAnsi="Verdana" w:cs="Times New Roman"/>
          <w:b/>
        </w:rPr>
        <w:t xml:space="preserve"> στην περίπτωση του </w:t>
      </w:r>
      <w:r w:rsidR="00E708DF" w:rsidRPr="00E708DF">
        <w:rPr>
          <w:rFonts w:ascii="Verdana" w:hAnsi="Verdana"/>
          <w:b/>
        </w:rPr>
        <w:t>Αζερμπαϊτζάν</w:t>
      </w:r>
      <w:r w:rsidR="00E708DF" w:rsidRPr="00036C3C">
        <w:rPr>
          <w:rFonts w:ascii="Verdana" w:eastAsia="Times New Roman" w:hAnsi="Verdana" w:cs="Times New Roman"/>
          <w:b/>
        </w:rPr>
        <w:t xml:space="preserve"> </w:t>
      </w:r>
      <w:r w:rsidR="00230548" w:rsidRPr="00036C3C">
        <w:rPr>
          <w:rFonts w:ascii="Verdana" w:eastAsia="Times New Roman" w:hAnsi="Verdana" w:cs="Times New Roman"/>
          <w:b/>
        </w:rPr>
        <w:t xml:space="preserve">- εις βάρος όλων των υπόλοιπων κλάδων της </w:t>
      </w:r>
      <w:r w:rsidR="00BE2DDE">
        <w:rPr>
          <w:rFonts w:ascii="Verdana" w:eastAsia="Times New Roman" w:hAnsi="Verdana" w:cs="Times New Roman"/>
          <w:b/>
        </w:rPr>
        <w:t>οικονομίας</w:t>
      </w:r>
      <w:r w:rsidR="00230548" w:rsidRPr="00036C3C">
        <w:rPr>
          <w:rFonts w:ascii="Verdana" w:eastAsia="Times New Roman" w:hAnsi="Verdana" w:cs="Times New Roman"/>
          <w:b/>
        </w:rPr>
        <w:t>.</w:t>
      </w:r>
      <w:r w:rsidR="00230548" w:rsidRPr="00A61430">
        <w:rPr>
          <w:rFonts w:ascii="Verdana" w:eastAsia="Times New Roman" w:hAnsi="Verdana" w:cs="Times New Roman"/>
        </w:rPr>
        <w:t xml:space="preserve"> </w:t>
      </w:r>
      <w:r w:rsidR="00437E75" w:rsidRPr="00A61430">
        <w:rPr>
          <w:rFonts w:ascii="Verdana" w:hAnsi="Verdana"/>
        </w:rPr>
        <w:t>Επί μία ολόκληρη δεκαετία, ήτοι από το 2005 (</w:t>
      </w:r>
      <w:r w:rsidR="00437E75" w:rsidRPr="00A61430">
        <w:rPr>
          <w:rFonts w:ascii="Verdana" w:hAnsi="Verdana"/>
          <w:i/>
          <w:iCs/>
        </w:rPr>
        <w:t>έτος ολοκλήρωσης του εξαγωγικού αγωγού πετρελαίου BTC</w:t>
      </w:r>
      <w:r w:rsidR="00437E75" w:rsidRPr="00A61430">
        <w:rPr>
          <w:rFonts w:ascii="Verdana" w:hAnsi="Verdana"/>
        </w:rPr>
        <w:t xml:space="preserve">) έως και το 2014, οι ρυθμοί ανάπτυξης της οικονομίας </w:t>
      </w:r>
      <w:r w:rsidR="00BE2DDE">
        <w:rPr>
          <w:rFonts w:ascii="Verdana" w:hAnsi="Verdana"/>
        </w:rPr>
        <w:t xml:space="preserve">ήσαν </w:t>
      </w:r>
      <w:r w:rsidR="00437E75" w:rsidRPr="00A61430">
        <w:rPr>
          <w:rFonts w:ascii="Verdana" w:hAnsi="Verdana"/>
        </w:rPr>
        <w:t xml:space="preserve">από τους υψηλότερους παγκοσμίως. </w:t>
      </w:r>
      <w:r w:rsidR="00437E75" w:rsidRPr="00F22295">
        <w:rPr>
          <w:rFonts w:ascii="Verdana" w:eastAsia="Times New Roman" w:hAnsi="Verdana" w:cs="Times New Roman"/>
          <w:b/>
        </w:rPr>
        <w:t xml:space="preserve">Από τα τέλη του 2014 έως και το 2016 </w:t>
      </w:r>
      <w:r w:rsidR="00BE2DDE">
        <w:rPr>
          <w:rFonts w:ascii="Verdana" w:eastAsia="Times New Roman" w:hAnsi="Verdana" w:cs="Times New Roman"/>
          <w:b/>
        </w:rPr>
        <w:t xml:space="preserve">η χώρα </w:t>
      </w:r>
      <w:r w:rsidR="00437E75" w:rsidRPr="00F22295">
        <w:rPr>
          <w:rFonts w:ascii="Verdana" w:eastAsia="Times New Roman" w:hAnsi="Verdana" w:cs="Times New Roman"/>
          <w:b/>
        </w:rPr>
        <w:t xml:space="preserve">βίωσε, ωστόσο, </w:t>
      </w:r>
      <w:r w:rsidR="00230548" w:rsidRPr="00F22295">
        <w:rPr>
          <w:rFonts w:ascii="Verdana" w:eastAsia="Times New Roman" w:hAnsi="Verdana" w:cs="Times New Roman"/>
          <w:b/>
        </w:rPr>
        <w:t>επιδείνωση όλων των βασικών μακροοικονομικών μεγεθών οφειλόμενη στη μείωση των πετρελαϊκών τιμών.</w:t>
      </w:r>
      <w:r w:rsidR="00230548" w:rsidRPr="00A61430">
        <w:rPr>
          <w:rFonts w:ascii="Verdana" w:eastAsia="Times New Roman" w:hAnsi="Verdana" w:cs="Times New Roman"/>
        </w:rPr>
        <w:t xml:space="preserve"> </w:t>
      </w:r>
      <w:r w:rsidR="00437E75" w:rsidRPr="00A61430">
        <w:rPr>
          <w:rFonts w:ascii="Verdana" w:hAnsi="Verdana"/>
        </w:rPr>
        <w:t xml:space="preserve">Το 2015 υπήρξε μια δύσκολη χρονιά, με δύο υποτιμήσεις του ΑΖΝ και </w:t>
      </w:r>
      <w:r w:rsidR="00437E75" w:rsidRPr="00F22295">
        <w:rPr>
          <w:rFonts w:ascii="Verdana" w:hAnsi="Verdana"/>
          <w:bCs/>
        </w:rPr>
        <w:t>ασθενική ανάπτυξη</w:t>
      </w:r>
      <w:r w:rsidR="00437E75" w:rsidRPr="00A61430">
        <w:rPr>
          <w:rFonts w:ascii="Verdana" w:hAnsi="Verdana"/>
        </w:rPr>
        <w:t xml:space="preserve"> 1,1%.</w:t>
      </w:r>
      <w:r w:rsidR="00437E75" w:rsidRPr="00A61430">
        <w:rPr>
          <w:rFonts w:ascii="Verdana" w:hAnsi="Verdana"/>
          <w:i/>
          <w:iCs/>
        </w:rPr>
        <w:t xml:space="preserve"> </w:t>
      </w:r>
      <w:r w:rsidR="00437E75" w:rsidRPr="00A61430">
        <w:rPr>
          <w:rFonts w:ascii="Verdana" w:hAnsi="Verdana"/>
        </w:rPr>
        <w:t xml:space="preserve">Το 2016, κατεγράφη </w:t>
      </w:r>
      <w:r w:rsidR="00437E75" w:rsidRPr="00A61430">
        <w:rPr>
          <w:rFonts w:ascii="Verdana" w:hAnsi="Verdana"/>
          <w:b/>
          <w:bCs/>
        </w:rPr>
        <w:t>ύφεση</w:t>
      </w:r>
      <w:r w:rsidR="00437E75" w:rsidRPr="00A61430">
        <w:rPr>
          <w:rFonts w:ascii="Verdana" w:hAnsi="Verdana"/>
        </w:rPr>
        <w:t xml:space="preserve"> (αρνητικός ρυθμός ανάπτυξης) -3,1%. </w:t>
      </w:r>
      <w:r w:rsidR="00230548" w:rsidRPr="00A61430">
        <w:rPr>
          <w:rFonts w:ascii="Verdana" w:eastAsia="Times New Roman" w:hAnsi="Verdana" w:cs="Times New Roman"/>
        </w:rPr>
        <w:t>Η επάνοδος των διεθνών τιμών του αργού σε αποδεκτά επίπεδα εντός του 2017 είχε ως αποτέλεσμα</w:t>
      </w:r>
      <w:r w:rsidR="00437E75" w:rsidRPr="00A61430">
        <w:rPr>
          <w:rFonts w:ascii="Verdana" w:eastAsia="Times New Roman" w:hAnsi="Verdana" w:cs="Times New Roman"/>
        </w:rPr>
        <w:t>,</w:t>
      </w:r>
      <w:r w:rsidR="00230548" w:rsidRPr="00A61430">
        <w:rPr>
          <w:rFonts w:ascii="Verdana" w:eastAsia="Times New Roman" w:hAnsi="Verdana" w:cs="Times New Roman"/>
        </w:rPr>
        <w:t xml:space="preserve"> </w:t>
      </w:r>
      <w:r w:rsidR="00437E75" w:rsidRPr="00A61430">
        <w:rPr>
          <w:rFonts w:ascii="Verdana" w:eastAsia="Times New Roman" w:hAnsi="Verdana" w:cs="Times New Roman"/>
        </w:rPr>
        <w:t xml:space="preserve">να παραμείνει το </w:t>
      </w:r>
      <w:r w:rsidR="00230548" w:rsidRPr="00A61430">
        <w:rPr>
          <w:rFonts w:ascii="Verdana" w:eastAsia="Times New Roman" w:hAnsi="Verdana" w:cs="Times New Roman"/>
        </w:rPr>
        <w:t xml:space="preserve"> ΑΕΠ </w:t>
      </w:r>
      <w:r w:rsidR="00437E75" w:rsidRPr="00A61430">
        <w:rPr>
          <w:rFonts w:ascii="Verdana" w:eastAsia="Times New Roman" w:hAnsi="Verdana" w:cs="Times New Roman"/>
        </w:rPr>
        <w:t>στάσιμο</w:t>
      </w:r>
      <w:r w:rsidR="00230548" w:rsidRPr="00A61430">
        <w:rPr>
          <w:rFonts w:ascii="Verdana" w:eastAsia="Times New Roman" w:hAnsi="Verdana" w:cs="Times New Roman"/>
        </w:rPr>
        <w:t xml:space="preserve"> σε σχέση με το 2016, αλλά μόνο λόγω της </w:t>
      </w:r>
      <w:r w:rsidR="00437E75" w:rsidRPr="00A61430">
        <w:rPr>
          <w:rFonts w:ascii="Verdana" w:eastAsia="Times New Roman" w:hAnsi="Verdana" w:cs="Times New Roman"/>
        </w:rPr>
        <w:t xml:space="preserve">δραματικής αύξησης των εξαγωγών πετρελαίου </w:t>
      </w:r>
      <w:r w:rsidR="00230548" w:rsidRPr="00A61430">
        <w:rPr>
          <w:rFonts w:ascii="Verdana" w:eastAsia="Times New Roman" w:hAnsi="Verdana" w:cs="Times New Roman"/>
        </w:rPr>
        <w:t xml:space="preserve">κατά 51% (από τα 9,14 δις στα 13,81 δις </w:t>
      </w:r>
      <w:r w:rsidR="00230548" w:rsidRPr="00A61430">
        <w:rPr>
          <w:rFonts w:ascii="Verdana" w:eastAsia="Times New Roman" w:hAnsi="Verdana" w:cs="Times New Roman"/>
          <w:lang w:val="en-US"/>
        </w:rPr>
        <w:t>USD</w:t>
      </w:r>
      <w:r w:rsidR="00230548" w:rsidRPr="00A61430">
        <w:rPr>
          <w:rFonts w:ascii="Verdana" w:eastAsia="Times New Roman" w:hAnsi="Verdana" w:cs="Times New Roman"/>
        </w:rPr>
        <w:t xml:space="preserve">). Επομένως, στην πράξη, η λοιπή οικονομική δραστηριότητα μειώθηκε. Η απαξίωση του εθνικού νομίσματος (ΑΖΝ) μετά τις δύο δραματικές υποτιμήσεις του 2015, εξακολουθεί να αποτελεί σημαντικό πρόβλημα για τον πληθυσμό, αν και, μετά την άνοιξη του 2017, το ΑΖΝ σταθεροποιήθηκε έναντι του </w:t>
      </w:r>
      <w:r w:rsidR="00230548" w:rsidRPr="00A61430">
        <w:rPr>
          <w:rFonts w:ascii="Verdana" w:eastAsia="Times New Roman" w:hAnsi="Verdana" w:cs="Times New Roman"/>
          <w:lang w:val="en-US"/>
        </w:rPr>
        <w:t>USD</w:t>
      </w:r>
      <w:r w:rsidR="00230548" w:rsidRPr="00A61430">
        <w:rPr>
          <w:rFonts w:ascii="Verdana" w:eastAsia="Times New Roman" w:hAnsi="Verdana" w:cs="Times New Roman"/>
        </w:rPr>
        <w:t xml:space="preserve">, με ισοτιμία περίπου 1 </w:t>
      </w:r>
      <w:r w:rsidR="00230548" w:rsidRPr="00A61430">
        <w:rPr>
          <w:rFonts w:ascii="Verdana" w:eastAsia="Times New Roman" w:hAnsi="Verdana" w:cs="Times New Roman"/>
          <w:lang w:val="en-US"/>
        </w:rPr>
        <w:t>USD</w:t>
      </w:r>
      <w:r w:rsidR="00230548" w:rsidRPr="00A61430">
        <w:rPr>
          <w:rFonts w:ascii="Verdana" w:eastAsia="Times New Roman" w:hAnsi="Verdana" w:cs="Times New Roman"/>
        </w:rPr>
        <w:t xml:space="preserve"> προς 1,70 ΑΖΝ.</w:t>
      </w:r>
      <w:r w:rsidR="00E5340B" w:rsidRPr="00E5340B">
        <w:rPr>
          <w:rFonts w:ascii="Verdana" w:eastAsia="Times New Roman" w:hAnsi="Verdana" w:cs="Times New Roman"/>
        </w:rPr>
        <w:t xml:space="preserve"> </w:t>
      </w:r>
      <w:r w:rsidR="00A75702" w:rsidRPr="00E5340B">
        <w:rPr>
          <w:rFonts w:ascii="Verdana" w:hAnsi="Verdana"/>
          <w:bCs/>
        </w:rPr>
        <w:t>Το 2018</w:t>
      </w:r>
      <w:r w:rsidR="00E5340B" w:rsidRPr="00E5340B">
        <w:rPr>
          <w:rFonts w:ascii="Verdana" w:hAnsi="Verdana"/>
          <w:bCs/>
        </w:rPr>
        <w:t xml:space="preserve"> </w:t>
      </w:r>
      <w:r w:rsidR="00A75702" w:rsidRPr="00E5340B">
        <w:rPr>
          <w:rFonts w:ascii="Verdana" w:hAnsi="Verdana"/>
          <w:bCs/>
        </w:rPr>
        <w:t xml:space="preserve">το ΑΕΠ της χώρας διαμορφώθηκε σε 80 περίπου δις </w:t>
      </w:r>
      <w:proofErr w:type="spellStart"/>
      <w:r w:rsidR="00A75702" w:rsidRPr="00E5340B">
        <w:rPr>
          <w:rFonts w:ascii="Verdana" w:hAnsi="Verdana"/>
          <w:bCs/>
        </w:rPr>
        <w:t>Μανάτ</w:t>
      </w:r>
      <w:proofErr w:type="spellEnd"/>
      <w:r w:rsidR="00A75702" w:rsidRPr="00E5340B">
        <w:rPr>
          <w:rFonts w:ascii="Verdana" w:hAnsi="Verdana"/>
          <w:bCs/>
        </w:rPr>
        <w:t xml:space="preserve"> </w:t>
      </w:r>
      <w:r w:rsidR="00F22295" w:rsidRPr="00E5340B">
        <w:rPr>
          <w:rFonts w:ascii="Verdana" w:hAnsi="Verdana"/>
          <w:bCs/>
        </w:rPr>
        <w:t>(</w:t>
      </w:r>
      <w:r w:rsidR="00A75702" w:rsidRPr="00E5340B">
        <w:rPr>
          <w:rFonts w:ascii="Verdana" w:hAnsi="Verdana"/>
          <w:bCs/>
        </w:rPr>
        <w:t xml:space="preserve">46,9 δις </w:t>
      </w:r>
      <w:r w:rsidR="00A75702" w:rsidRPr="00E5340B">
        <w:rPr>
          <w:rFonts w:ascii="Verdana" w:hAnsi="Verdana"/>
          <w:bCs/>
          <w:lang w:val="en-US"/>
        </w:rPr>
        <w:t>USD</w:t>
      </w:r>
      <w:r w:rsidR="00A75702" w:rsidRPr="00E5340B">
        <w:rPr>
          <w:rFonts w:ascii="Verdana" w:hAnsi="Verdana"/>
          <w:bCs/>
        </w:rPr>
        <w:t xml:space="preserve">) σημειώνοντας  </w:t>
      </w:r>
      <w:r w:rsidR="00F22295" w:rsidRPr="00E5340B">
        <w:rPr>
          <w:rFonts w:ascii="Verdana" w:hAnsi="Verdana"/>
          <w:bCs/>
        </w:rPr>
        <w:t>αύξηση</w:t>
      </w:r>
      <w:r w:rsidR="00A75702" w:rsidRPr="00E5340B">
        <w:rPr>
          <w:rFonts w:ascii="Verdana" w:hAnsi="Verdana"/>
          <w:bCs/>
        </w:rPr>
        <w:t xml:space="preserve"> 1,4%,</w:t>
      </w:r>
      <w:r w:rsidR="00A75702" w:rsidRPr="00A61430">
        <w:rPr>
          <w:rFonts w:ascii="Verdana" w:hAnsi="Verdana"/>
          <w:b/>
          <w:bCs/>
        </w:rPr>
        <w:t xml:space="preserve"> </w:t>
      </w:r>
      <w:r w:rsidR="00A75702" w:rsidRPr="00A61430">
        <w:rPr>
          <w:rFonts w:ascii="Verdana" w:hAnsi="Verdana"/>
          <w:bCs/>
        </w:rPr>
        <w:t>κυρίως λό</w:t>
      </w:r>
      <w:r w:rsidR="00825300" w:rsidRPr="00A61430">
        <w:rPr>
          <w:rFonts w:ascii="Verdana" w:hAnsi="Verdana"/>
          <w:bCs/>
        </w:rPr>
        <w:t xml:space="preserve">γω της ανόδου των διεθνών </w:t>
      </w:r>
      <w:proofErr w:type="spellStart"/>
      <w:r w:rsidR="00825300" w:rsidRPr="00A61430">
        <w:rPr>
          <w:rFonts w:ascii="Verdana" w:hAnsi="Verdana"/>
          <w:bCs/>
        </w:rPr>
        <w:t>τιµών</w:t>
      </w:r>
      <w:proofErr w:type="spellEnd"/>
      <w:r w:rsidR="00825300" w:rsidRPr="00A61430">
        <w:rPr>
          <w:rFonts w:ascii="Verdana" w:hAnsi="Verdana"/>
          <w:bCs/>
        </w:rPr>
        <w:t xml:space="preserve"> </w:t>
      </w:r>
      <w:r w:rsidR="00A75702" w:rsidRPr="00A61430">
        <w:rPr>
          <w:rFonts w:ascii="Verdana" w:hAnsi="Verdana"/>
          <w:bCs/>
        </w:rPr>
        <w:t>του αργού</w:t>
      </w:r>
      <w:r w:rsidR="000A0271" w:rsidRPr="00A61430">
        <w:rPr>
          <w:rFonts w:ascii="Verdana" w:hAnsi="Verdana"/>
          <w:bCs/>
        </w:rPr>
        <w:t xml:space="preserve"> (</w:t>
      </w:r>
      <w:r w:rsidR="00825300" w:rsidRPr="00A61430">
        <w:rPr>
          <w:rFonts w:ascii="Verdana" w:hAnsi="Verdana"/>
          <w:bCs/>
        </w:rPr>
        <w:t xml:space="preserve">η τιμή του διαμορφώθηκε στην διάρκεια του 2018 σε 71 </w:t>
      </w:r>
      <w:proofErr w:type="spellStart"/>
      <w:r w:rsidR="00825300" w:rsidRPr="00A61430">
        <w:rPr>
          <w:rFonts w:ascii="Verdana" w:hAnsi="Verdana"/>
          <w:bCs/>
        </w:rPr>
        <w:t>δολλάρια</w:t>
      </w:r>
      <w:proofErr w:type="spellEnd"/>
      <w:r w:rsidR="00825300" w:rsidRPr="00A61430">
        <w:rPr>
          <w:rFonts w:ascii="Verdana" w:hAnsi="Verdana"/>
          <w:bCs/>
        </w:rPr>
        <w:t xml:space="preserve">/βαρέλι έναντι </w:t>
      </w:r>
      <w:r w:rsidR="00491D2E" w:rsidRPr="00A61430">
        <w:rPr>
          <w:rFonts w:ascii="Verdana" w:hAnsi="Verdana"/>
          <w:bCs/>
        </w:rPr>
        <w:t xml:space="preserve">αρχικής </w:t>
      </w:r>
      <w:r w:rsidR="00825300" w:rsidRPr="00A61430">
        <w:rPr>
          <w:rFonts w:ascii="Verdana" w:hAnsi="Verdana"/>
          <w:bCs/>
        </w:rPr>
        <w:t xml:space="preserve">πρόβλεψης </w:t>
      </w:r>
      <w:r w:rsidR="00491D2E" w:rsidRPr="00A61430">
        <w:rPr>
          <w:rFonts w:ascii="Verdana" w:hAnsi="Verdana"/>
          <w:bCs/>
        </w:rPr>
        <w:t xml:space="preserve">για </w:t>
      </w:r>
      <w:r w:rsidR="00825300" w:rsidRPr="00A61430">
        <w:rPr>
          <w:rFonts w:ascii="Verdana" w:hAnsi="Verdana"/>
          <w:bCs/>
        </w:rPr>
        <w:t>45 δο</w:t>
      </w:r>
      <w:r w:rsidR="00491D2E" w:rsidRPr="00A61430">
        <w:rPr>
          <w:rFonts w:ascii="Verdana" w:hAnsi="Verdana"/>
          <w:bCs/>
        </w:rPr>
        <w:t>λ</w:t>
      </w:r>
      <w:r w:rsidR="000A0271" w:rsidRPr="00A61430">
        <w:rPr>
          <w:rFonts w:ascii="Verdana" w:hAnsi="Verdana"/>
          <w:bCs/>
        </w:rPr>
        <w:t xml:space="preserve">άρια) </w:t>
      </w:r>
      <w:r w:rsidR="00825300" w:rsidRPr="00A61430">
        <w:rPr>
          <w:rFonts w:ascii="Verdana" w:hAnsi="Verdana"/>
          <w:bCs/>
        </w:rPr>
        <w:t>και της επεκτατικής δημοσιονομικής πολιτικής</w:t>
      </w:r>
      <w:r w:rsidR="00A75702" w:rsidRPr="00A61430">
        <w:rPr>
          <w:rFonts w:ascii="Verdana" w:hAnsi="Verdana"/>
          <w:bCs/>
        </w:rPr>
        <w:t>.</w:t>
      </w:r>
      <w:r w:rsidR="000A0271" w:rsidRPr="00A61430">
        <w:rPr>
          <w:rFonts w:ascii="Verdana" w:hAnsi="Verdana"/>
          <w:b/>
          <w:bCs/>
        </w:rPr>
        <w:t xml:space="preserve"> </w:t>
      </w:r>
    </w:p>
    <w:p w:rsidR="00B101B0" w:rsidRPr="00B101B0" w:rsidRDefault="00E5340B" w:rsidP="00B101B0">
      <w:pPr>
        <w:jc w:val="both"/>
        <w:rPr>
          <w:rFonts w:ascii="Verdana" w:eastAsia="Times New Roman" w:hAnsi="Verdana" w:cs="Times New Roman"/>
          <w:b/>
          <w:bCs/>
        </w:rPr>
      </w:pPr>
      <w:r w:rsidRPr="007D495A">
        <w:rPr>
          <w:rFonts w:ascii="Verdana" w:hAnsi="Verdana"/>
          <w:b/>
          <w:bCs/>
        </w:rPr>
        <w:lastRenderedPageBreak/>
        <w:t xml:space="preserve">Το 2019, σύμφωνα με την </w:t>
      </w:r>
      <w:proofErr w:type="spellStart"/>
      <w:r w:rsidRPr="007D495A">
        <w:rPr>
          <w:rFonts w:ascii="Verdana" w:hAnsi="Verdana"/>
          <w:b/>
          <w:bCs/>
        </w:rPr>
        <w:t>αζέρικη</w:t>
      </w:r>
      <w:proofErr w:type="spellEnd"/>
      <w:r w:rsidRPr="007D495A">
        <w:rPr>
          <w:rFonts w:ascii="Verdana" w:hAnsi="Verdana"/>
          <w:b/>
          <w:bCs/>
        </w:rPr>
        <w:t xml:space="preserve"> Στατιστική Υπηρεσία,  το ΑΕΠ της χώρας διαμορφώθηκε σε 81,6 περίπου δις </w:t>
      </w:r>
      <w:proofErr w:type="spellStart"/>
      <w:r w:rsidRPr="007D495A">
        <w:rPr>
          <w:rFonts w:ascii="Verdana" w:hAnsi="Verdana"/>
          <w:b/>
          <w:bCs/>
        </w:rPr>
        <w:t>Μανάτ</w:t>
      </w:r>
      <w:proofErr w:type="spellEnd"/>
      <w:r w:rsidRPr="007D495A">
        <w:rPr>
          <w:rFonts w:ascii="Verdana" w:hAnsi="Verdana"/>
          <w:b/>
          <w:bCs/>
        </w:rPr>
        <w:t xml:space="preserve"> (</w:t>
      </w:r>
      <w:r w:rsidR="007D495A" w:rsidRPr="007D495A">
        <w:rPr>
          <w:rFonts w:ascii="Verdana" w:hAnsi="Verdana"/>
          <w:b/>
          <w:bCs/>
        </w:rPr>
        <w:t>48,1</w:t>
      </w:r>
      <w:r w:rsidRPr="007D495A">
        <w:rPr>
          <w:rFonts w:ascii="Verdana" w:hAnsi="Verdana"/>
          <w:b/>
          <w:bCs/>
        </w:rPr>
        <w:t xml:space="preserve"> δις </w:t>
      </w:r>
      <w:r w:rsidRPr="007D495A">
        <w:rPr>
          <w:rFonts w:ascii="Verdana" w:hAnsi="Verdana"/>
          <w:b/>
          <w:bCs/>
          <w:lang w:val="en-US"/>
        </w:rPr>
        <w:t>USD</w:t>
      </w:r>
      <w:r w:rsidRPr="007D495A">
        <w:rPr>
          <w:rFonts w:ascii="Verdana" w:hAnsi="Verdana"/>
          <w:b/>
          <w:bCs/>
        </w:rPr>
        <w:t xml:space="preserve">) σημειώνοντας  αύξηση </w:t>
      </w:r>
      <w:r w:rsidR="007D495A" w:rsidRPr="007D495A">
        <w:rPr>
          <w:rFonts w:ascii="Verdana" w:hAnsi="Verdana"/>
          <w:b/>
          <w:bCs/>
        </w:rPr>
        <w:t>2,2</w:t>
      </w:r>
      <w:r w:rsidRPr="007D495A">
        <w:rPr>
          <w:rFonts w:ascii="Verdana" w:hAnsi="Verdana"/>
          <w:b/>
          <w:bCs/>
        </w:rPr>
        <w:t xml:space="preserve">%, </w:t>
      </w:r>
      <w:r w:rsidR="00B77A63">
        <w:rPr>
          <w:rFonts w:ascii="Verdana" w:eastAsia="Times New Roman" w:hAnsi="Verdana" w:cs="Times New Roman"/>
          <w:bCs/>
        </w:rPr>
        <w:t xml:space="preserve">κυρίως λόγω </w:t>
      </w:r>
      <w:r w:rsidR="00B101B0" w:rsidRPr="00B101B0">
        <w:rPr>
          <w:rFonts w:ascii="Verdana" w:eastAsia="Times New Roman" w:hAnsi="Verdana" w:cs="Times New Roman"/>
          <w:bCs/>
        </w:rPr>
        <w:t>αύξησης του μη πετρελαϊκού τομέα κατά 3,5%.</w:t>
      </w:r>
    </w:p>
    <w:p w:rsidR="00B101B0" w:rsidRPr="00B101B0" w:rsidRDefault="00B101B0" w:rsidP="00B101B0">
      <w:pPr>
        <w:jc w:val="both"/>
        <w:rPr>
          <w:rFonts w:ascii="Verdana" w:eastAsia="Times New Roman" w:hAnsi="Verdana" w:cs="Times New Roman"/>
          <w:bCs/>
        </w:rPr>
      </w:pPr>
      <w:r w:rsidRPr="00B101B0">
        <w:rPr>
          <w:rFonts w:ascii="Verdana" w:eastAsia="Times New Roman" w:hAnsi="Verdana" w:cs="Times New Roman"/>
          <w:b/>
          <w:bCs/>
        </w:rPr>
        <w:t>Το κατά κεφαλήν ΑΕΠ,</w:t>
      </w:r>
      <w:r w:rsidRPr="00B101B0">
        <w:rPr>
          <w:rFonts w:ascii="Verdana" w:eastAsia="Times New Roman" w:hAnsi="Verdana" w:cs="Times New Roman"/>
          <w:bCs/>
        </w:rPr>
        <w:t xml:space="preserve"> το οποίο το 2014 ήταν 7.990 </w:t>
      </w:r>
      <w:r w:rsidRPr="00B101B0">
        <w:rPr>
          <w:rFonts w:ascii="Verdana" w:eastAsia="Times New Roman" w:hAnsi="Verdana" w:cs="Times New Roman"/>
          <w:bCs/>
          <w:lang w:val="en-US"/>
        </w:rPr>
        <w:t>USD</w:t>
      </w:r>
      <w:r w:rsidRPr="00B101B0">
        <w:rPr>
          <w:rFonts w:ascii="Verdana" w:eastAsia="Times New Roman" w:hAnsi="Verdana" w:cs="Times New Roman"/>
          <w:bCs/>
        </w:rPr>
        <w:t xml:space="preserve"> (ιστορικό υψηλό), διαμορφώθηκε </w:t>
      </w:r>
      <w:r w:rsidRPr="00B101B0">
        <w:rPr>
          <w:rFonts w:ascii="Verdana" w:eastAsia="Times New Roman" w:hAnsi="Verdana" w:cs="Times New Roman"/>
          <w:b/>
          <w:bCs/>
        </w:rPr>
        <w:t xml:space="preserve">το 2019 σε 4.851 </w:t>
      </w:r>
      <w:r w:rsidRPr="00B101B0">
        <w:rPr>
          <w:rFonts w:ascii="Verdana" w:eastAsia="Times New Roman" w:hAnsi="Verdana" w:cs="Times New Roman"/>
          <w:b/>
          <w:bCs/>
          <w:lang w:val="en-US"/>
        </w:rPr>
        <w:t>USD</w:t>
      </w:r>
      <w:r w:rsidRPr="00B101B0">
        <w:rPr>
          <w:rFonts w:ascii="Verdana" w:eastAsia="Times New Roman" w:hAnsi="Verdana" w:cs="Times New Roman"/>
          <w:bCs/>
        </w:rPr>
        <w:t xml:space="preserve"> έναντι 4.780 το 2018 και </w:t>
      </w:r>
      <w:r w:rsidRPr="00B101B0">
        <w:rPr>
          <w:rFonts w:ascii="Verdana" w:hAnsi="Verdana"/>
          <w:bCs/>
        </w:rPr>
        <w:t>4.198</w:t>
      </w:r>
      <w:r w:rsidRPr="00B101B0">
        <w:rPr>
          <w:rFonts w:ascii="Verdana" w:eastAsia="Times New Roman" w:hAnsi="Verdana" w:cs="Times New Roman"/>
          <w:bCs/>
        </w:rPr>
        <w:t xml:space="preserve"> </w:t>
      </w:r>
      <w:r w:rsidRPr="00B101B0">
        <w:rPr>
          <w:rFonts w:ascii="Verdana" w:eastAsia="Times New Roman" w:hAnsi="Verdana" w:cs="Times New Roman"/>
          <w:bCs/>
          <w:lang w:val="en-US"/>
        </w:rPr>
        <w:t>USD</w:t>
      </w:r>
      <w:r w:rsidRPr="00B101B0">
        <w:rPr>
          <w:rFonts w:ascii="Verdana" w:eastAsia="Times New Roman" w:hAnsi="Verdana" w:cs="Times New Roman"/>
          <w:bCs/>
        </w:rPr>
        <w:t xml:space="preserve"> το 2017. Γενικότερα  πρέπει να σημειωθεί, ότι το </w:t>
      </w:r>
      <w:proofErr w:type="spellStart"/>
      <w:r w:rsidRPr="00B101B0">
        <w:rPr>
          <w:rFonts w:ascii="Verdana" w:eastAsia="Times New Roman" w:hAnsi="Verdana" w:cs="Times New Roman"/>
          <w:bCs/>
        </w:rPr>
        <w:t>Αζερµπαϊτζάν</w:t>
      </w:r>
      <w:proofErr w:type="spellEnd"/>
      <w:r w:rsidRPr="00B101B0">
        <w:rPr>
          <w:rFonts w:ascii="Verdana" w:eastAsia="Times New Roman" w:hAnsi="Verdana" w:cs="Times New Roman"/>
          <w:bCs/>
        </w:rPr>
        <w:t xml:space="preserve"> έχει πλέον παύσει -ήδη από το 2015- να είναι χώρα «µ</w:t>
      </w:r>
      <w:proofErr w:type="spellStart"/>
      <w:r w:rsidRPr="00B101B0">
        <w:rPr>
          <w:rFonts w:ascii="Verdana" w:eastAsia="Times New Roman" w:hAnsi="Verdana" w:cs="Times New Roman"/>
          <w:bCs/>
        </w:rPr>
        <w:t>εσαίου</w:t>
      </w:r>
      <w:proofErr w:type="spellEnd"/>
      <w:r w:rsidRPr="00B101B0">
        <w:rPr>
          <w:rFonts w:ascii="Verdana" w:eastAsia="Times New Roman" w:hAnsi="Verdana" w:cs="Times New Roman"/>
          <w:bCs/>
        </w:rPr>
        <w:t xml:space="preserve"> κατά κεφαλήν </w:t>
      </w:r>
      <w:proofErr w:type="spellStart"/>
      <w:r w:rsidRPr="00B101B0">
        <w:rPr>
          <w:rFonts w:ascii="Verdana" w:eastAsia="Times New Roman" w:hAnsi="Verdana" w:cs="Times New Roman"/>
          <w:bCs/>
        </w:rPr>
        <w:t>εισοδήµατος</w:t>
      </w:r>
      <w:proofErr w:type="spellEnd"/>
      <w:r w:rsidRPr="00B101B0">
        <w:rPr>
          <w:rFonts w:ascii="Verdana" w:eastAsia="Times New Roman" w:hAnsi="Verdana" w:cs="Times New Roman"/>
          <w:bCs/>
        </w:rPr>
        <w:t>» και βρίσκεται στην κατηγορία των χωρών «</w:t>
      </w:r>
      <w:proofErr w:type="spellStart"/>
      <w:r w:rsidRPr="00B101B0">
        <w:rPr>
          <w:rFonts w:ascii="Verdana" w:eastAsia="Times New Roman" w:hAnsi="Verdana" w:cs="Times New Roman"/>
          <w:bCs/>
        </w:rPr>
        <w:t>χαµηλού</w:t>
      </w:r>
      <w:proofErr w:type="spellEnd"/>
      <w:r w:rsidRPr="00B101B0">
        <w:rPr>
          <w:rFonts w:ascii="Verdana" w:eastAsia="Times New Roman" w:hAnsi="Verdana" w:cs="Times New Roman"/>
          <w:bCs/>
        </w:rPr>
        <w:t xml:space="preserve"> κατά κεφαλήν </w:t>
      </w:r>
      <w:proofErr w:type="spellStart"/>
      <w:r w:rsidRPr="00B101B0">
        <w:rPr>
          <w:rFonts w:ascii="Verdana" w:eastAsia="Times New Roman" w:hAnsi="Verdana" w:cs="Times New Roman"/>
          <w:bCs/>
        </w:rPr>
        <w:t>εισοδήµατος</w:t>
      </w:r>
      <w:proofErr w:type="spellEnd"/>
      <w:r w:rsidRPr="00B101B0">
        <w:rPr>
          <w:rFonts w:ascii="Verdana" w:eastAsia="Times New Roman" w:hAnsi="Verdana" w:cs="Times New Roman"/>
          <w:bCs/>
        </w:rPr>
        <w:t xml:space="preserve">», </w:t>
      </w:r>
      <w:proofErr w:type="spellStart"/>
      <w:r w:rsidRPr="00B101B0">
        <w:rPr>
          <w:rFonts w:ascii="Verdana" w:eastAsia="Times New Roman" w:hAnsi="Verdana" w:cs="Times New Roman"/>
          <w:bCs/>
        </w:rPr>
        <w:t>σύµφωνα</w:t>
      </w:r>
      <w:proofErr w:type="spellEnd"/>
      <w:r w:rsidRPr="00B101B0">
        <w:rPr>
          <w:rFonts w:ascii="Verdana" w:eastAsia="Times New Roman" w:hAnsi="Verdana" w:cs="Times New Roman"/>
          <w:bCs/>
        </w:rPr>
        <w:t xml:space="preserve"> µε τα διεθνώς αποδεκτά </w:t>
      </w:r>
      <w:r w:rsidRPr="00B101B0">
        <w:rPr>
          <w:rFonts w:ascii="Verdana" w:eastAsia="Times New Roman" w:hAnsi="Verdana" w:cs="Times New Roman"/>
          <w:bCs/>
          <w:lang w:val="en-US"/>
        </w:rPr>
        <w:t>standards</w:t>
      </w:r>
      <w:r w:rsidRPr="00B101B0">
        <w:rPr>
          <w:rFonts w:ascii="Verdana" w:eastAsia="Times New Roman" w:hAnsi="Verdana" w:cs="Times New Roman"/>
          <w:bCs/>
        </w:rPr>
        <w:t xml:space="preserve"> της </w:t>
      </w:r>
      <w:r w:rsidRPr="00B101B0">
        <w:rPr>
          <w:rFonts w:ascii="Verdana" w:eastAsia="Times New Roman" w:hAnsi="Verdana" w:cs="Times New Roman"/>
          <w:bCs/>
          <w:lang w:val="en-US"/>
        </w:rPr>
        <w:t>UNCTAD</w:t>
      </w:r>
      <w:r w:rsidRPr="00B101B0">
        <w:rPr>
          <w:rFonts w:ascii="Verdana" w:eastAsia="Times New Roman" w:hAnsi="Verdana" w:cs="Times New Roman"/>
          <w:bCs/>
        </w:rPr>
        <w:t>.</w:t>
      </w:r>
    </w:p>
    <w:p w:rsidR="00B101B0" w:rsidRPr="00B101B0" w:rsidRDefault="00B101B0" w:rsidP="00B101B0">
      <w:pPr>
        <w:jc w:val="both"/>
        <w:rPr>
          <w:rFonts w:ascii="Verdana" w:eastAsia="Times New Roman" w:hAnsi="Verdana" w:cs="Times New Roman"/>
        </w:rPr>
      </w:pPr>
      <w:r w:rsidRPr="00B101B0">
        <w:rPr>
          <w:rFonts w:ascii="Verdana" w:eastAsia="Times New Roman" w:hAnsi="Verdana" w:cs="Times New Roman"/>
          <w:b/>
          <w:bCs/>
        </w:rPr>
        <w:t xml:space="preserve">Το 2019 σημειώθηκε αύξηση σε όλους σχεδόν τους παραγωγικούς τομείς, με εξαίρεση τον κατασκευαστικό τομέα. </w:t>
      </w:r>
      <w:r w:rsidRPr="00B101B0">
        <w:rPr>
          <w:rFonts w:ascii="Verdana" w:eastAsia="Times New Roman" w:hAnsi="Verdana" w:cs="Times New Roman"/>
          <w:bCs/>
        </w:rPr>
        <w:t xml:space="preserve">Στην διαμόρφωση του ΑΕΠ συμμετείχε κατά </w:t>
      </w:r>
      <w:r w:rsidR="00B84C71" w:rsidRPr="00B84C71">
        <w:rPr>
          <w:rFonts w:ascii="Verdana" w:eastAsia="Times New Roman" w:hAnsi="Verdana" w:cs="Times New Roman"/>
          <w:bCs/>
        </w:rPr>
        <w:t>41,4</w:t>
      </w:r>
      <w:r w:rsidRPr="00B101B0">
        <w:rPr>
          <w:rFonts w:ascii="Verdana" w:eastAsia="Times New Roman" w:hAnsi="Verdana" w:cs="Times New Roman"/>
          <w:bCs/>
        </w:rPr>
        <w:t xml:space="preserve">% ο βιομηχανικός τομέας, ο αγροτικός τομέας κατά </w:t>
      </w:r>
      <w:r w:rsidR="00B84C71" w:rsidRPr="00B84C71">
        <w:rPr>
          <w:rFonts w:ascii="Verdana" w:eastAsia="Times New Roman" w:hAnsi="Verdana" w:cs="Times New Roman"/>
          <w:bCs/>
        </w:rPr>
        <w:t>5,7</w:t>
      </w:r>
      <w:r w:rsidRPr="00B101B0">
        <w:rPr>
          <w:rFonts w:ascii="Verdana" w:eastAsia="Times New Roman" w:hAnsi="Verdana" w:cs="Times New Roman"/>
          <w:bCs/>
        </w:rPr>
        <w:t xml:space="preserve">%  και κατά το υπόλοιπο ο τομέας των υπηρεσιών. </w:t>
      </w:r>
      <w:r w:rsidRPr="00B101B0">
        <w:rPr>
          <w:rFonts w:ascii="Verdana" w:eastAsia="Times New Roman" w:hAnsi="Verdana" w:cs="Times New Roman"/>
          <w:b/>
        </w:rPr>
        <w:t>Ο πληθωρισμός</w:t>
      </w:r>
      <w:r w:rsidR="00E10614">
        <w:rPr>
          <w:rFonts w:ascii="Verdana" w:eastAsia="Times New Roman" w:hAnsi="Verdana" w:cs="Times New Roman"/>
        </w:rPr>
        <w:t xml:space="preserve"> ανήλθε σε 2,</w:t>
      </w:r>
      <w:r w:rsidR="00E10614" w:rsidRPr="00B84C71">
        <w:rPr>
          <w:rFonts w:ascii="Verdana" w:eastAsia="Times New Roman" w:hAnsi="Verdana" w:cs="Times New Roman"/>
        </w:rPr>
        <w:t>6</w:t>
      </w:r>
      <w:r w:rsidRPr="00B101B0">
        <w:rPr>
          <w:rFonts w:ascii="Verdana" w:eastAsia="Times New Roman" w:hAnsi="Verdana" w:cs="Times New Roman"/>
        </w:rPr>
        <w:t>%.</w:t>
      </w:r>
    </w:p>
    <w:p w:rsidR="003558CC" w:rsidRPr="003558CC" w:rsidRDefault="003558CC" w:rsidP="003558CC">
      <w:pPr>
        <w:jc w:val="both"/>
        <w:rPr>
          <w:rFonts w:ascii="Verdana" w:hAnsi="Verdana"/>
          <w:b/>
        </w:rPr>
      </w:pPr>
      <w:r w:rsidRPr="004E2B80">
        <w:rPr>
          <w:rFonts w:ascii="Verdana" w:hAnsi="Verdana"/>
          <w:b/>
        </w:rPr>
        <w:t>Λίαν σημαντικός παράγοντας διαμόρφωσης του ΑΕΠ την τελευταία δεκαετία</w:t>
      </w:r>
      <w:r w:rsidR="004E2B80">
        <w:rPr>
          <w:rFonts w:ascii="Verdana" w:hAnsi="Verdana"/>
          <w:b/>
        </w:rPr>
        <w:t xml:space="preserve">, όπως προαναφέρθηκε, </w:t>
      </w:r>
      <w:r w:rsidRPr="004E2B80">
        <w:rPr>
          <w:rFonts w:ascii="Verdana" w:hAnsi="Verdana"/>
          <w:b/>
        </w:rPr>
        <w:t xml:space="preserve"> υπήρξαν οι άμεσες μεταβιβάσεις εκ μέρους του </w:t>
      </w:r>
      <w:r w:rsidRPr="004E2B80">
        <w:rPr>
          <w:rFonts w:ascii="Verdana" w:hAnsi="Verdana"/>
          <w:b/>
          <w:bCs/>
          <w:lang w:val="en-US"/>
        </w:rPr>
        <w:t>SOFAZ</w:t>
      </w:r>
      <w:r w:rsidRPr="004E2B80">
        <w:rPr>
          <w:rFonts w:ascii="Verdana" w:hAnsi="Verdana"/>
          <w:b/>
          <w:bCs/>
        </w:rPr>
        <w:t xml:space="preserve"> </w:t>
      </w:r>
      <w:r w:rsidRPr="004E2B80">
        <w:rPr>
          <w:rFonts w:ascii="Verdana" w:hAnsi="Verdana"/>
          <w:b/>
        </w:rPr>
        <w:t>(</w:t>
      </w:r>
      <w:proofErr w:type="spellStart"/>
      <w:r w:rsidRPr="004E2B80">
        <w:rPr>
          <w:rFonts w:ascii="Verdana" w:hAnsi="Verdana"/>
          <w:b/>
        </w:rPr>
        <w:t>State</w:t>
      </w:r>
      <w:proofErr w:type="spellEnd"/>
      <w:r w:rsidRPr="004E2B80">
        <w:rPr>
          <w:rFonts w:ascii="Verdana" w:hAnsi="Verdana"/>
          <w:b/>
        </w:rPr>
        <w:t xml:space="preserve"> Oil Fund) προς τον κρατικό προϋπολογισμό, ήτοι η μαζική εισροή </w:t>
      </w:r>
      <w:r w:rsidRPr="004E2B80">
        <w:rPr>
          <w:rFonts w:ascii="Verdana" w:hAnsi="Verdana"/>
          <w:b/>
          <w:i/>
          <w:iCs/>
        </w:rPr>
        <w:t>«πετροδολαρίων»</w:t>
      </w:r>
      <w:r w:rsidRPr="004E2B80">
        <w:rPr>
          <w:rFonts w:ascii="Verdana" w:hAnsi="Verdana"/>
          <w:b/>
        </w:rPr>
        <w:t xml:space="preserve"> στην οικονομία.</w:t>
      </w:r>
      <w:r w:rsidRPr="003558CC">
        <w:rPr>
          <w:rFonts w:ascii="Verdana" w:hAnsi="Verdana"/>
        </w:rPr>
        <w:t xml:space="preserve"> Το </w:t>
      </w:r>
      <w:r w:rsidRPr="003558CC">
        <w:rPr>
          <w:rFonts w:ascii="Verdana" w:hAnsi="Verdana"/>
          <w:lang w:val="en-US"/>
        </w:rPr>
        <w:t>SOFAZ</w:t>
      </w:r>
      <w:r w:rsidRPr="003558CC">
        <w:rPr>
          <w:rFonts w:ascii="Verdana" w:hAnsi="Verdana"/>
        </w:rPr>
        <w:t xml:space="preserve"> ιδρύθηκε με νόμο το 1999, </w:t>
      </w:r>
      <w:r w:rsidR="008B64FE">
        <w:rPr>
          <w:rFonts w:ascii="Verdana" w:hAnsi="Verdana"/>
        </w:rPr>
        <w:t>άρχισε</w:t>
      </w:r>
      <w:r w:rsidRPr="003558CC">
        <w:rPr>
          <w:rFonts w:ascii="Verdana" w:hAnsi="Verdana"/>
        </w:rPr>
        <w:t xml:space="preserve"> να λειτουργεί το 2001 και ξεκίνησε τις άμεσες μεταβιβάσεις στον προϋπολογισμό -</w:t>
      </w:r>
      <w:r>
        <w:rPr>
          <w:rFonts w:ascii="Verdana" w:hAnsi="Verdana"/>
        </w:rPr>
        <w:t xml:space="preserve"> </w:t>
      </w:r>
      <w:r w:rsidRPr="003558CC">
        <w:rPr>
          <w:rFonts w:ascii="Verdana" w:hAnsi="Verdana"/>
        </w:rPr>
        <w:t>αρχικά σε πολύ χαμηλά επίπεδα</w:t>
      </w:r>
      <w:r>
        <w:rPr>
          <w:rFonts w:ascii="Verdana" w:hAnsi="Verdana"/>
        </w:rPr>
        <w:t xml:space="preserve"> </w:t>
      </w:r>
      <w:r w:rsidRPr="003558CC">
        <w:rPr>
          <w:rFonts w:ascii="Verdana" w:hAnsi="Verdana"/>
        </w:rPr>
        <w:t>- το 2003.</w:t>
      </w:r>
      <w:r w:rsidR="008B64FE">
        <w:rPr>
          <w:rFonts w:ascii="Verdana" w:hAnsi="Verdana"/>
        </w:rPr>
        <w:t xml:space="preserve"> Από μόλις 585 εκ. ΑΖΝ το 2007 οι μεταβιβάσεις</w:t>
      </w:r>
      <w:r w:rsidRPr="003558CC">
        <w:rPr>
          <w:rFonts w:ascii="Verdana" w:hAnsi="Verdana"/>
        </w:rPr>
        <w:t xml:space="preserve"> πολύ γρήγορα εκτοξεύθηκαν και ανήλθαν στο ιστορικό υψηλό των 11,35 δις  το 2013. Μετά τη σημαντική μείωσή τους κατά την τετραετία 2014-17, το 2</w:t>
      </w:r>
      <w:r w:rsidR="00AA6AB0">
        <w:rPr>
          <w:rFonts w:ascii="Verdana" w:hAnsi="Verdana"/>
        </w:rPr>
        <w:t xml:space="preserve">018 ήταν εκ νέου χρονιά ανόδου και οι μεταβιβάσεις ανήλθαν σε 11 δις </w:t>
      </w:r>
      <w:r w:rsidR="00AA6AB0" w:rsidRPr="003558CC">
        <w:rPr>
          <w:rFonts w:ascii="Verdana" w:hAnsi="Verdana"/>
        </w:rPr>
        <w:t>ΑΖΝ</w:t>
      </w:r>
      <w:r w:rsidRPr="00753F27">
        <w:rPr>
          <w:rFonts w:ascii="Verdana" w:hAnsi="Verdana"/>
        </w:rPr>
        <w:t xml:space="preserve">. </w:t>
      </w:r>
      <w:r w:rsidR="0006405D">
        <w:rPr>
          <w:rFonts w:ascii="Verdana" w:hAnsi="Verdana"/>
          <w:b/>
        </w:rPr>
        <w:t>Τ</w:t>
      </w:r>
      <w:r w:rsidR="0006405D" w:rsidRPr="00753F27">
        <w:rPr>
          <w:rFonts w:ascii="Verdana" w:hAnsi="Verdana"/>
          <w:b/>
        </w:rPr>
        <w:t>ο 2019</w:t>
      </w:r>
      <w:r w:rsidR="0006405D">
        <w:rPr>
          <w:rFonts w:ascii="Verdana" w:hAnsi="Verdana"/>
          <w:b/>
        </w:rPr>
        <w:t xml:space="preserve"> ο</w:t>
      </w:r>
      <w:r w:rsidRPr="00753F27">
        <w:rPr>
          <w:rFonts w:ascii="Verdana" w:hAnsi="Verdana"/>
          <w:b/>
        </w:rPr>
        <w:t xml:space="preserve">ι </w:t>
      </w:r>
      <w:r w:rsidR="004E2B80" w:rsidRPr="00753F27">
        <w:rPr>
          <w:rFonts w:ascii="Verdana" w:hAnsi="Verdana"/>
          <w:b/>
        </w:rPr>
        <w:t xml:space="preserve">εν λόγω μεταβιβάσεις </w:t>
      </w:r>
      <w:r w:rsidR="0006405D">
        <w:rPr>
          <w:rFonts w:ascii="Verdana" w:hAnsi="Verdana"/>
          <w:b/>
        </w:rPr>
        <w:t>ανήλθαν σε 11,3 δις ΑΖΝ και α</w:t>
      </w:r>
      <w:r w:rsidR="004E2B80" w:rsidRPr="00753F27">
        <w:rPr>
          <w:rFonts w:ascii="Verdana" w:hAnsi="Verdana"/>
          <w:b/>
        </w:rPr>
        <w:t>ποτέλεσαν</w:t>
      </w:r>
      <w:r w:rsidRPr="00753F27">
        <w:rPr>
          <w:rFonts w:ascii="Verdana" w:hAnsi="Verdana"/>
          <w:b/>
        </w:rPr>
        <w:t xml:space="preserve"> </w:t>
      </w:r>
      <w:r w:rsidR="00AA6AB0" w:rsidRPr="00753F27">
        <w:rPr>
          <w:rFonts w:ascii="Verdana" w:hAnsi="Verdana"/>
          <w:b/>
        </w:rPr>
        <w:t xml:space="preserve">το </w:t>
      </w:r>
      <w:r w:rsidR="00753F27" w:rsidRPr="00753F27">
        <w:rPr>
          <w:rFonts w:ascii="Verdana" w:hAnsi="Verdana"/>
          <w:b/>
        </w:rPr>
        <w:t>50,4</w:t>
      </w:r>
      <w:r w:rsidRPr="00753F27">
        <w:rPr>
          <w:rFonts w:ascii="Verdana" w:hAnsi="Verdana"/>
          <w:b/>
        </w:rPr>
        <w:t xml:space="preserve">% του συνόλου των κρατικών εσόδων, έναντι </w:t>
      </w:r>
      <w:r w:rsidR="00753F27" w:rsidRPr="00753F27">
        <w:rPr>
          <w:rFonts w:ascii="Verdana" w:hAnsi="Verdana"/>
          <w:b/>
        </w:rPr>
        <w:t>49</w:t>
      </w:r>
      <w:r w:rsidRPr="00753F27">
        <w:rPr>
          <w:rFonts w:ascii="Verdana" w:hAnsi="Verdana"/>
          <w:b/>
        </w:rPr>
        <w:t xml:space="preserve">% </w:t>
      </w:r>
      <w:r w:rsidR="004E2B80" w:rsidRPr="00753F27">
        <w:rPr>
          <w:rFonts w:ascii="Verdana" w:hAnsi="Verdana"/>
          <w:b/>
        </w:rPr>
        <w:t>σ</w:t>
      </w:r>
      <w:r w:rsidRPr="00753F27">
        <w:rPr>
          <w:rFonts w:ascii="Verdana" w:hAnsi="Verdana"/>
          <w:b/>
        </w:rPr>
        <w:t>το αντίστοιχο περυσινό διάστημα</w:t>
      </w:r>
      <w:r w:rsidRPr="00753F27">
        <w:rPr>
          <w:rFonts w:ascii="Verdana" w:hAnsi="Verdana"/>
        </w:rPr>
        <w:t>.</w:t>
      </w:r>
      <w:r w:rsidRPr="003558CC">
        <w:rPr>
          <w:rFonts w:ascii="Verdana" w:hAnsi="Verdana"/>
        </w:rPr>
        <w:t xml:space="preserve"> </w:t>
      </w:r>
    </w:p>
    <w:p w:rsidR="003558CC" w:rsidRPr="003558CC" w:rsidRDefault="008B64FE" w:rsidP="003558CC">
      <w:pPr>
        <w:jc w:val="both"/>
        <w:rPr>
          <w:rFonts w:ascii="Verdana" w:hAnsi="Verdana"/>
        </w:rPr>
      </w:pPr>
      <w:r>
        <w:rPr>
          <w:rFonts w:ascii="Verdana" w:hAnsi="Verdana"/>
        </w:rPr>
        <w:t xml:space="preserve">Κατά την τριετία 2012 μέχρι </w:t>
      </w:r>
      <w:r w:rsidR="003558CC" w:rsidRPr="003558CC">
        <w:rPr>
          <w:rFonts w:ascii="Verdana" w:hAnsi="Verdana"/>
        </w:rPr>
        <w:t xml:space="preserve">2014 </w:t>
      </w:r>
      <w:r w:rsidR="003558CC" w:rsidRPr="003558CC">
        <w:rPr>
          <w:rFonts w:ascii="Verdana" w:hAnsi="Verdana"/>
          <w:b/>
        </w:rPr>
        <w:t>ο δείκτης τιμών καταναλωτή</w:t>
      </w:r>
      <w:r w:rsidR="003558CC" w:rsidRPr="003558CC">
        <w:rPr>
          <w:rFonts w:ascii="Verdana" w:hAnsi="Verdana"/>
        </w:rPr>
        <w:t xml:space="preserve"> ήταν πολύ χαμηλός στο ρυθμό ανόδου του, όμως οι δύο υποτιμήσεις του ΑΖΝ το 2015 μετέβαλαν άρδην την κατάσταση. Η χώρα έκτοτε βιώνει το λεγόμενο </w:t>
      </w:r>
      <w:r w:rsidR="003558CC" w:rsidRPr="003558CC">
        <w:rPr>
          <w:rFonts w:ascii="Verdana" w:hAnsi="Verdana"/>
          <w:i/>
          <w:iCs/>
        </w:rPr>
        <w:t>«εισαγόμενο πληθωρισμό»</w:t>
      </w:r>
      <w:r w:rsidR="003558CC" w:rsidRPr="003558CC">
        <w:rPr>
          <w:rFonts w:ascii="Verdana" w:hAnsi="Verdana"/>
        </w:rPr>
        <w:t>, λόγω του ότι πάρα πολλά είδη -ακόμη και πρώτης ανάγκης- εισάγονται. Συμπερασματικά, τη διε</w:t>
      </w:r>
      <w:r w:rsidR="004E2B80">
        <w:rPr>
          <w:rFonts w:ascii="Verdana" w:hAnsi="Verdana"/>
        </w:rPr>
        <w:t>τία 2016-17 η πάλαι ποτέ κραταιά</w:t>
      </w:r>
      <w:r w:rsidR="003558CC" w:rsidRPr="003558CC">
        <w:rPr>
          <w:rFonts w:ascii="Verdana" w:hAnsi="Verdana"/>
        </w:rPr>
        <w:t xml:space="preserve"> οικονομία γνώρισε ημέρες στασιμοπληθωρισμού, δηλαδή συνδυασμού ύφεσης και υψηλού πληθωρισμού, για πρώτη φορά μετά από πολλά έτη. </w:t>
      </w:r>
      <w:r w:rsidR="00B101B0">
        <w:rPr>
          <w:rFonts w:ascii="Verdana" w:hAnsi="Verdana"/>
          <w:b/>
        </w:rPr>
        <w:t>Το 201</w:t>
      </w:r>
      <w:r w:rsidR="00B101B0" w:rsidRPr="00B101B0">
        <w:rPr>
          <w:rFonts w:ascii="Verdana" w:hAnsi="Verdana"/>
          <w:b/>
        </w:rPr>
        <w:t>9</w:t>
      </w:r>
      <w:r w:rsidR="003558CC" w:rsidRPr="004E2B80">
        <w:rPr>
          <w:rFonts w:ascii="Verdana" w:hAnsi="Verdana"/>
          <w:b/>
        </w:rPr>
        <w:t xml:space="preserve"> ο</w:t>
      </w:r>
      <w:r w:rsidR="00B101B0">
        <w:rPr>
          <w:rFonts w:ascii="Verdana" w:hAnsi="Verdana"/>
          <w:b/>
        </w:rPr>
        <w:t xml:space="preserve"> πληθωρισμός διαμορφώθηκε σε 2,</w:t>
      </w:r>
      <w:r w:rsidR="00B101B0" w:rsidRPr="00B101B0">
        <w:rPr>
          <w:rFonts w:ascii="Verdana" w:hAnsi="Verdana"/>
          <w:b/>
        </w:rPr>
        <w:t>6</w:t>
      </w:r>
      <w:r w:rsidR="003558CC" w:rsidRPr="004E2B80">
        <w:rPr>
          <w:rFonts w:ascii="Verdana" w:hAnsi="Verdana"/>
          <w:b/>
        </w:rPr>
        <w:t>%</w:t>
      </w:r>
      <w:r w:rsidR="003558CC" w:rsidRPr="003558CC">
        <w:rPr>
          <w:rFonts w:ascii="Verdana" w:hAnsi="Verdana"/>
        </w:rPr>
        <w:t xml:space="preserve"> σύμφωνα με τα επίσημα στατιστικά, ενώ ανεξάρτητες ανεπίσημες πηγές τον υπολογίζουν σε 6,7%.</w:t>
      </w:r>
    </w:p>
    <w:p w:rsidR="003558CC" w:rsidRPr="003558CC" w:rsidRDefault="003558CC" w:rsidP="003558CC">
      <w:pPr>
        <w:jc w:val="both"/>
        <w:rPr>
          <w:rFonts w:ascii="Verdana" w:hAnsi="Verdana"/>
        </w:rPr>
      </w:pPr>
      <w:r w:rsidRPr="003558CC">
        <w:rPr>
          <w:rFonts w:ascii="Verdana" w:hAnsi="Verdana"/>
        </w:rPr>
        <w:t>Από την 1</w:t>
      </w:r>
      <w:r w:rsidRPr="003558CC">
        <w:rPr>
          <w:rFonts w:ascii="Verdana" w:hAnsi="Verdana"/>
          <w:vertAlign w:val="superscript"/>
        </w:rPr>
        <w:t>η</w:t>
      </w:r>
      <w:r w:rsidRPr="003558CC">
        <w:rPr>
          <w:rFonts w:ascii="Verdana" w:hAnsi="Verdana"/>
        </w:rPr>
        <w:t xml:space="preserve"> Ιανουαρίου 2006 </w:t>
      </w:r>
      <w:r w:rsidRPr="003558CC">
        <w:rPr>
          <w:rFonts w:ascii="Verdana" w:hAnsi="Verdana"/>
          <w:b/>
        </w:rPr>
        <w:t>το εθνικ</w:t>
      </w:r>
      <w:r>
        <w:rPr>
          <w:rFonts w:ascii="Verdana" w:hAnsi="Verdana"/>
          <w:b/>
        </w:rPr>
        <w:t>ό νόμισμα του Αζερμπαϊτζάν (ΑΖΜ</w:t>
      </w:r>
      <w:r w:rsidRPr="003558CC">
        <w:rPr>
          <w:rFonts w:ascii="Verdana" w:hAnsi="Verdana"/>
          <w:b/>
        </w:rPr>
        <w:t>)</w:t>
      </w:r>
      <w:r w:rsidRPr="003558CC">
        <w:rPr>
          <w:rFonts w:ascii="Verdana" w:hAnsi="Verdana"/>
        </w:rPr>
        <w:t xml:space="preserve"> αντικαταστάθηκε από το Νέο </w:t>
      </w:r>
      <w:proofErr w:type="spellStart"/>
      <w:r w:rsidRPr="003558CC">
        <w:rPr>
          <w:rFonts w:ascii="Verdana" w:hAnsi="Verdana"/>
        </w:rPr>
        <w:t>Μανάτ</w:t>
      </w:r>
      <w:proofErr w:type="spellEnd"/>
      <w:r w:rsidRPr="003558CC">
        <w:rPr>
          <w:rFonts w:ascii="Verdana" w:hAnsi="Verdana"/>
        </w:rPr>
        <w:t xml:space="preserve"> </w:t>
      </w:r>
      <w:r w:rsidRPr="00F0622D">
        <w:rPr>
          <w:rFonts w:ascii="Verdana" w:hAnsi="Verdana"/>
          <w:b/>
        </w:rPr>
        <w:t>(ΑΖΝ).</w:t>
      </w:r>
      <w:r w:rsidRPr="003558CC">
        <w:rPr>
          <w:rFonts w:ascii="Verdana" w:hAnsi="Verdana"/>
        </w:rPr>
        <w:t xml:space="preserve"> Η ισοτιμία του εθνικού νομίσματος με το $ ΗΠΑ διατηρήθηκε «κλειδωμένη» σε σταθερό επίπεδο με μέσο όρο 1 $ ΗΠΑ= 0,7845 ΑΖΝ από το 2011 μέχρι και τις αρχές του 2015.</w:t>
      </w:r>
      <w:r w:rsidRPr="003558CC">
        <w:rPr>
          <w:rFonts w:ascii="Verdana" w:hAnsi="Verdana"/>
          <w:color w:val="FF0000"/>
        </w:rPr>
        <w:t xml:space="preserve"> </w:t>
      </w:r>
      <w:r w:rsidRPr="003558CC">
        <w:rPr>
          <w:rFonts w:ascii="Verdana" w:hAnsi="Verdana"/>
        </w:rPr>
        <w:t xml:space="preserve">Οι δύο υποτιμήσεις του ΑΖΝ το 2015, όμως, και η συνακόλουθη διολίσθηση διαμόρφωσαν την ισοτιμία, στα μέσα του 2018, στα επίπεδα του </w:t>
      </w:r>
      <w:r w:rsidRPr="003558CC">
        <w:rPr>
          <w:rFonts w:ascii="Verdana" w:hAnsi="Verdana"/>
          <w:b/>
          <w:bCs/>
        </w:rPr>
        <w:t>1 $ ΗΠΑ = 1,70 ΑΖΝ</w:t>
      </w:r>
      <w:r w:rsidRPr="003558CC">
        <w:rPr>
          <w:rFonts w:ascii="Verdana" w:hAnsi="Verdana"/>
        </w:rPr>
        <w:t xml:space="preserve">. Λογαριασμοί σε </w:t>
      </w:r>
      <w:r w:rsidRPr="003558CC">
        <w:rPr>
          <w:rFonts w:ascii="Verdana" w:hAnsi="Verdana"/>
        </w:rPr>
        <w:lastRenderedPageBreak/>
        <w:t xml:space="preserve">συνάλλαγμα όχι μόνο επιτρέπονται, αλλά αποτελούν και τον κανόνα. Για όλα τα </w:t>
      </w:r>
      <w:r w:rsidRPr="003558CC">
        <w:rPr>
          <w:rFonts w:ascii="Verdana" w:hAnsi="Verdana"/>
          <w:i/>
          <w:iCs/>
        </w:rPr>
        <w:t>φυσικά</w:t>
      </w:r>
      <w:r w:rsidRPr="003558CC">
        <w:rPr>
          <w:rFonts w:ascii="Verdana" w:hAnsi="Verdana"/>
        </w:rPr>
        <w:t xml:space="preserve"> πρόσωπα που κατοικούν στη χώρα, ασχέτως υπηκοότητας, υπάρχει </w:t>
      </w:r>
      <w:r w:rsidRPr="003558CC">
        <w:rPr>
          <w:rFonts w:ascii="Verdana" w:hAnsi="Verdana"/>
          <w:u w:val="single"/>
        </w:rPr>
        <w:t>ανώτατο ημερήσιο όριο 1.000 $ στα εμβάσματα προς το εξωτερικό</w:t>
      </w:r>
      <w:r w:rsidRPr="003558CC">
        <w:rPr>
          <w:rFonts w:ascii="Verdana" w:hAnsi="Verdana"/>
        </w:rPr>
        <w:t xml:space="preserve"> (εξαιρούνται μόνον οι υπάλληλοι διπλωματικών αποστολών) και όχι πάνω από 10.000 $ μηνιαίως. Η σε </w:t>
      </w:r>
      <w:r w:rsidRPr="003558CC">
        <w:rPr>
          <w:rFonts w:ascii="Verdana" w:hAnsi="Verdana"/>
          <w:i/>
          <w:iCs/>
        </w:rPr>
        <w:t>φυσική μορφή</w:t>
      </w:r>
      <w:r w:rsidRPr="003558CC">
        <w:rPr>
          <w:rFonts w:ascii="Verdana" w:hAnsi="Verdana"/>
        </w:rPr>
        <w:t xml:space="preserve"> εξαγωγή μεγαλύτερων ποσών -μέχρι το ανώτατο όριο των 50.000 $- επιτρέπεται μόνο με την προσκόμιση απόδειξης</w:t>
      </w:r>
      <w:r w:rsidR="008B64FE">
        <w:rPr>
          <w:rFonts w:ascii="Verdana" w:hAnsi="Verdana"/>
        </w:rPr>
        <w:t>,</w:t>
      </w:r>
      <w:r w:rsidRPr="003558CC">
        <w:rPr>
          <w:rFonts w:ascii="Verdana" w:hAnsi="Verdana"/>
        </w:rPr>
        <w:t xml:space="preserve"> ότι τα χρήματα αυτά είχαν προηγουμένως εισαχθεί στη χώρα. Απαγορεύεται απολύτως η εξαγωγή, σε φυσική μορφή</w:t>
      </w:r>
      <w:r w:rsidR="008B64FE">
        <w:rPr>
          <w:rFonts w:ascii="Verdana" w:hAnsi="Verdana"/>
        </w:rPr>
        <w:t>,</w:t>
      </w:r>
      <w:r w:rsidRPr="003558CC">
        <w:rPr>
          <w:rFonts w:ascii="Verdana" w:hAnsi="Verdana"/>
        </w:rPr>
        <w:t xml:space="preserve"> συναλλάγματος ύψους άνω των 50.000 $. </w:t>
      </w:r>
    </w:p>
    <w:p w:rsidR="003558CC" w:rsidRPr="003558CC" w:rsidRDefault="003558CC" w:rsidP="003558CC">
      <w:pPr>
        <w:jc w:val="both"/>
        <w:rPr>
          <w:rStyle w:val="4Char"/>
          <w:rFonts w:ascii="Verdana" w:hAnsi="Verdana"/>
          <w:i w:val="0"/>
        </w:rPr>
      </w:pPr>
    </w:p>
    <w:p w:rsidR="00A75702" w:rsidRPr="00A61430" w:rsidRDefault="00A75702" w:rsidP="00A61430">
      <w:pPr>
        <w:ind w:left="1440"/>
        <w:jc w:val="both"/>
        <w:rPr>
          <w:rFonts w:ascii="Verdana" w:eastAsia="Times New Roman" w:hAnsi="Verdana" w:cs="Times New Roman"/>
        </w:rPr>
      </w:pPr>
    </w:p>
    <w:p w:rsidR="001D6F88" w:rsidRPr="00571DB6" w:rsidRDefault="00573903" w:rsidP="00A61430">
      <w:pPr>
        <w:pStyle w:val="3"/>
        <w:numPr>
          <w:ilvl w:val="0"/>
          <w:numId w:val="0"/>
        </w:numPr>
        <w:jc w:val="both"/>
        <w:rPr>
          <w:rFonts w:ascii="Verdana" w:hAnsi="Verdana"/>
          <w:color w:val="002060"/>
          <w:sz w:val="24"/>
          <w:szCs w:val="24"/>
        </w:rPr>
      </w:pPr>
      <w:r w:rsidRPr="00571DB6">
        <w:rPr>
          <w:rFonts w:ascii="Verdana" w:hAnsi="Verdana"/>
          <w:color w:val="002060"/>
          <w:sz w:val="24"/>
          <w:szCs w:val="24"/>
        </w:rPr>
        <w:t xml:space="preserve">3. </w:t>
      </w:r>
      <w:r w:rsidR="00C14803" w:rsidRPr="00571DB6">
        <w:rPr>
          <w:rFonts w:ascii="Verdana" w:hAnsi="Verdana"/>
          <w:color w:val="002060"/>
          <w:sz w:val="24"/>
          <w:szCs w:val="24"/>
        </w:rPr>
        <w:t>ΔΟΜΗ ΤΗΣ ΟΙΚΟΝΟΜΙΑΣ</w:t>
      </w:r>
    </w:p>
    <w:p w:rsidR="004B6DB2" w:rsidRDefault="00573903" w:rsidP="00A61430">
      <w:pPr>
        <w:pStyle w:val="3"/>
        <w:numPr>
          <w:ilvl w:val="0"/>
          <w:numId w:val="0"/>
        </w:numPr>
        <w:ind w:left="720" w:hanging="720"/>
        <w:jc w:val="both"/>
        <w:rPr>
          <w:rFonts w:ascii="Verdana" w:hAnsi="Verdana"/>
          <w:color w:val="002060"/>
        </w:rPr>
      </w:pPr>
      <w:bookmarkStart w:id="10" w:name="_Toc392595512"/>
      <w:r w:rsidRPr="00A61430">
        <w:rPr>
          <w:rFonts w:ascii="Verdana" w:hAnsi="Verdana"/>
          <w:color w:val="002060"/>
        </w:rPr>
        <w:t>3.1</w:t>
      </w:r>
      <w:r w:rsidR="005532E0" w:rsidRPr="00A61430">
        <w:rPr>
          <w:rFonts w:ascii="Verdana" w:hAnsi="Verdana"/>
          <w:color w:val="002060"/>
        </w:rPr>
        <w:t xml:space="preserve"> </w:t>
      </w:r>
      <w:r w:rsidR="004B6DB2" w:rsidRPr="00A61430">
        <w:rPr>
          <w:rFonts w:ascii="Verdana" w:hAnsi="Verdana"/>
          <w:color w:val="002060"/>
        </w:rPr>
        <w:t>ΒΙΟΜΗΧΑΝΙ</w:t>
      </w:r>
      <w:bookmarkEnd w:id="10"/>
      <w:r w:rsidR="00531563" w:rsidRPr="00A61430">
        <w:rPr>
          <w:rFonts w:ascii="Verdana" w:hAnsi="Verdana"/>
          <w:color w:val="002060"/>
        </w:rPr>
        <w:t>ΚΟΣ ΤΟΜΕΑΣ</w:t>
      </w:r>
    </w:p>
    <w:p w:rsidR="00515D00" w:rsidRPr="00515D00" w:rsidRDefault="00515D00" w:rsidP="00515D00"/>
    <w:p w:rsidR="004B6DB2" w:rsidRPr="00A61430" w:rsidRDefault="00244C96" w:rsidP="00A61430">
      <w:pPr>
        <w:jc w:val="both"/>
        <w:rPr>
          <w:rFonts w:ascii="Verdana" w:hAnsi="Verdana"/>
        </w:rPr>
      </w:pPr>
      <w:r w:rsidRPr="00A61430">
        <w:rPr>
          <w:rFonts w:ascii="Verdana" w:hAnsi="Verdana"/>
          <w:b/>
        </w:rPr>
        <w:t xml:space="preserve">Ο βιομηχανικός τομέας συμμετέχει κατά </w:t>
      </w:r>
      <w:r w:rsidR="00CE75AC" w:rsidRPr="00CE75AC">
        <w:rPr>
          <w:rFonts w:ascii="Verdana" w:hAnsi="Verdana"/>
          <w:b/>
        </w:rPr>
        <w:t>41,4</w:t>
      </w:r>
      <w:r w:rsidRPr="00A61430">
        <w:rPr>
          <w:rFonts w:ascii="Verdana" w:hAnsi="Verdana"/>
          <w:b/>
        </w:rPr>
        <w:t xml:space="preserve">% στην διαμόρφωση του ΑΕΠ </w:t>
      </w:r>
      <w:r w:rsidRPr="00A61430">
        <w:rPr>
          <w:rFonts w:ascii="Verdana" w:hAnsi="Verdana"/>
        </w:rPr>
        <w:t xml:space="preserve">και κατά 14% στην απασχόληση του εργατικού δυναμικού. Οι κύριοι κλάδοι της βιομηχανίας είναι </w:t>
      </w:r>
      <w:r w:rsidRPr="00CE75AC">
        <w:rPr>
          <w:rFonts w:ascii="Verdana" w:hAnsi="Verdana"/>
          <w:b/>
        </w:rPr>
        <w:t>παραγωγή πετρ</w:t>
      </w:r>
      <w:r w:rsidR="00CE75AC" w:rsidRPr="00CE75AC">
        <w:rPr>
          <w:rFonts w:ascii="Verdana" w:hAnsi="Verdana"/>
          <w:b/>
        </w:rPr>
        <w:t>ελαίου και φυσικού αερίου  (35,2</w:t>
      </w:r>
      <w:r w:rsidRPr="00CE75AC">
        <w:rPr>
          <w:rFonts w:ascii="Verdana" w:hAnsi="Verdana"/>
          <w:b/>
        </w:rPr>
        <w:t>%</w:t>
      </w:r>
      <w:r w:rsidR="005532E0" w:rsidRPr="00CE75AC">
        <w:rPr>
          <w:rFonts w:ascii="Verdana" w:hAnsi="Verdana"/>
          <w:b/>
        </w:rPr>
        <w:t xml:space="preserve"> του συνόλου της βιομηχανικής παραγωγής</w:t>
      </w:r>
      <w:r w:rsidRPr="00CE75AC">
        <w:rPr>
          <w:rFonts w:ascii="Verdana" w:hAnsi="Verdana"/>
          <w:b/>
        </w:rPr>
        <w:t>)</w:t>
      </w:r>
      <w:r w:rsidR="00C14803" w:rsidRPr="00CE75AC">
        <w:rPr>
          <w:rFonts w:ascii="Verdana" w:hAnsi="Verdana"/>
          <w:b/>
        </w:rPr>
        <w:t>,</w:t>
      </w:r>
      <w:r w:rsidR="00571DB6">
        <w:rPr>
          <w:rFonts w:ascii="Verdana" w:hAnsi="Verdana"/>
        </w:rPr>
        <w:t xml:space="preserve"> </w:t>
      </w:r>
      <w:r w:rsidRPr="00A61430">
        <w:rPr>
          <w:rFonts w:ascii="Verdana" w:hAnsi="Verdana"/>
        </w:rPr>
        <w:t>χαλυβουργία, χημική βιομηχανία και πετρελαιοειδή.</w:t>
      </w:r>
      <w:r w:rsidR="00C14803" w:rsidRPr="00A61430">
        <w:rPr>
          <w:rFonts w:ascii="Verdana" w:hAnsi="Verdana"/>
        </w:rPr>
        <w:t xml:space="preserve"> </w:t>
      </w:r>
    </w:p>
    <w:p w:rsidR="004B6DB2" w:rsidRDefault="004B6DB2" w:rsidP="00A61430">
      <w:pPr>
        <w:pStyle w:val="4"/>
        <w:numPr>
          <w:ilvl w:val="0"/>
          <w:numId w:val="10"/>
        </w:numPr>
        <w:jc w:val="both"/>
        <w:rPr>
          <w:rFonts w:ascii="Verdana" w:hAnsi="Verdana"/>
          <w:color w:val="002060"/>
        </w:rPr>
      </w:pPr>
      <w:bookmarkStart w:id="11" w:name="_Toc392595513"/>
      <w:r w:rsidRPr="00A61430">
        <w:rPr>
          <w:rFonts w:ascii="Verdana" w:hAnsi="Verdana"/>
          <w:color w:val="002060"/>
        </w:rPr>
        <w:t>Πετρελαϊκός τομέας</w:t>
      </w:r>
      <w:bookmarkEnd w:id="11"/>
    </w:p>
    <w:p w:rsidR="000B6119" w:rsidRPr="000B6119" w:rsidRDefault="000B6119" w:rsidP="000B6119"/>
    <w:p w:rsidR="004B6DB2" w:rsidRPr="00A61430" w:rsidRDefault="004B6DB2" w:rsidP="00A61430">
      <w:pPr>
        <w:jc w:val="both"/>
        <w:rPr>
          <w:rFonts w:ascii="Verdana" w:hAnsi="Verdana"/>
          <w:b/>
        </w:rPr>
      </w:pPr>
      <w:r w:rsidRPr="00A61430">
        <w:rPr>
          <w:rFonts w:ascii="Verdana" w:hAnsi="Verdana"/>
          <w:b/>
        </w:rPr>
        <w:t xml:space="preserve">Μετά την ανακήρυξη της ανεξαρτησίας, το 1991, η ενεργειακή πολιτική του Αζερμπαϊτζάν διαμορφώθηκε με διττό σκοπό: </w:t>
      </w:r>
    </w:p>
    <w:p w:rsidR="004B6DB2" w:rsidRPr="00A61430" w:rsidRDefault="004B6DB2" w:rsidP="00A61430">
      <w:pPr>
        <w:jc w:val="both"/>
        <w:rPr>
          <w:rFonts w:ascii="Verdana" w:hAnsi="Verdana"/>
        </w:rPr>
      </w:pPr>
      <w:r w:rsidRPr="00036C3C">
        <w:rPr>
          <w:rFonts w:ascii="Verdana" w:hAnsi="Verdana"/>
          <w:b/>
        </w:rPr>
        <w:t>α)</w:t>
      </w:r>
      <w:r w:rsidRPr="00A61430">
        <w:rPr>
          <w:rFonts w:ascii="Verdana" w:hAnsi="Verdana"/>
        </w:rPr>
        <w:t xml:space="preserve"> σε </w:t>
      </w:r>
      <w:r w:rsidRPr="00A61430">
        <w:rPr>
          <w:rFonts w:ascii="Verdana" w:hAnsi="Verdana"/>
          <w:i/>
          <w:iCs/>
        </w:rPr>
        <w:t>οικονομικό-εμπορικό επίπεδο</w:t>
      </w:r>
      <w:r w:rsidRPr="00A61430">
        <w:rPr>
          <w:rFonts w:ascii="Verdana" w:hAnsi="Verdana"/>
        </w:rPr>
        <w:t xml:space="preserve">, την αύξηση των εσόδων από την καλύτερη δυνατή εκμετάλλευση των υπεράκτιων κοιτασμάτων, τα οποία, λόγω έλλειψης σύγχρονης τεχνογνωσίας, παρέμεναν σε μεγάλο βαθμό αναξιοποίητα μέχρι τότε </w:t>
      </w:r>
      <w:r w:rsidRPr="00036C3C">
        <w:rPr>
          <w:rFonts w:ascii="Verdana" w:hAnsi="Verdana"/>
          <w:b/>
        </w:rPr>
        <w:t>και β)</w:t>
      </w:r>
      <w:r w:rsidRPr="00A61430">
        <w:rPr>
          <w:rFonts w:ascii="Verdana" w:hAnsi="Verdana"/>
        </w:rPr>
        <w:t xml:space="preserve"> σε </w:t>
      </w:r>
      <w:r w:rsidRPr="00A61430">
        <w:rPr>
          <w:rFonts w:ascii="Verdana" w:hAnsi="Verdana"/>
          <w:i/>
          <w:iCs/>
        </w:rPr>
        <w:t>πολιτικό</w:t>
      </w:r>
      <w:r w:rsidRPr="00A61430">
        <w:rPr>
          <w:rFonts w:ascii="Verdana" w:hAnsi="Verdana"/>
        </w:rPr>
        <w:t xml:space="preserve"> επίπεδο, την</w:t>
      </w:r>
      <w:r w:rsidR="00B40390">
        <w:rPr>
          <w:rFonts w:ascii="Verdana" w:hAnsi="Verdana"/>
        </w:rPr>
        <w:t xml:space="preserve"> σύναψη στρατηγικών συμφωνιών και την</w:t>
      </w:r>
      <w:r w:rsidRPr="00A61430">
        <w:rPr>
          <w:rFonts w:ascii="Verdana" w:hAnsi="Verdana"/>
        </w:rPr>
        <w:t xml:space="preserve"> </w:t>
      </w:r>
      <w:r w:rsidR="000E6399">
        <w:rPr>
          <w:rFonts w:ascii="Verdana" w:hAnsi="Verdana"/>
        </w:rPr>
        <w:t xml:space="preserve">έμμεση </w:t>
      </w:r>
      <w:r w:rsidRPr="00A61430">
        <w:rPr>
          <w:rFonts w:ascii="Verdana" w:hAnsi="Verdana"/>
        </w:rPr>
        <w:t>ανάμ</w:t>
      </w:r>
      <w:r w:rsidR="000E6399">
        <w:rPr>
          <w:rFonts w:ascii="Verdana" w:hAnsi="Verdana"/>
        </w:rPr>
        <w:t xml:space="preserve">ειξη </w:t>
      </w:r>
      <w:r w:rsidRPr="00A61430">
        <w:rPr>
          <w:rFonts w:ascii="Verdana" w:hAnsi="Verdana"/>
        </w:rPr>
        <w:t xml:space="preserve">δυτικών κυβερνήσεων, μέσω των εταιρειών τους, για να δημιουργηθούν ισχυροί δεσμοί αλληλεξάρτησης. </w:t>
      </w:r>
    </w:p>
    <w:p w:rsidR="004B6DB2" w:rsidRPr="00A61430" w:rsidRDefault="004B6DB2" w:rsidP="00A61430">
      <w:pPr>
        <w:jc w:val="both"/>
        <w:rPr>
          <w:rFonts w:ascii="Verdana" w:hAnsi="Verdana"/>
        </w:rPr>
      </w:pPr>
      <w:r w:rsidRPr="00A61430">
        <w:rPr>
          <w:rFonts w:ascii="Verdana" w:hAnsi="Verdana"/>
          <w:b/>
        </w:rPr>
        <w:t>Μείζονα φορέα ενεργειακής πολιτικής</w:t>
      </w:r>
      <w:r w:rsidRPr="00A61430">
        <w:rPr>
          <w:rFonts w:ascii="Verdana" w:hAnsi="Verdana"/>
        </w:rPr>
        <w:t xml:space="preserve"> αποτελεί ο κρατικός ενεργειακός όμιλος </w:t>
      </w:r>
      <w:r w:rsidRPr="00A61430">
        <w:rPr>
          <w:rFonts w:ascii="Verdana" w:hAnsi="Verdana"/>
          <w:b/>
          <w:bCs/>
        </w:rPr>
        <w:t xml:space="preserve">SOCAR </w:t>
      </w:r>
      <w:r w:rsidRPr="00A61430">
        <w:rPr>
          <w:rFonts w:ascii="Verdana" w:hAnsi="Verdana"/>
        </w:rPr>
        <w:t>(</w:t>
      </w:r>
      <w:proofErr w:type="spellStart"/>
      <w:r w:rsidRPr="00A61430">
        <w:rPr>
          <w:rFonts w:ascii="Verdana" w:hAnsi="Verdana"/>
        </w:rPr>
        <w:t>State</w:t>
      </w:r>
      <w:proofErr w:type="spellEnd"/>
      <w:r w:rsidRPr="00A61430">
        <w:rPr>
          <w:rFonts w:ascii="Verdana" w:hAnsi="Verdana"/>
        </w:rPr>
        <w:t xml:space="preserve"> Oil </w:t>
      </w:r>
      <w:proofErr w:type="spellStart"/>
      <w:r w:rsidRPr="00A61430">
        <w:rPr>
          <w:rFonts w:ascii="Verdana" w:hAnsi="Verdana"/>
        </w:rPr>
        <w:t>Company</w:t>
      </w:r>
      <w:proofErr w:type="spellEnd"/>
      <w:r w:rsidRPr="00A61430">
        <w:rPr>
          <w:rFonts w:ascii="Verdana" w:hAnsi="Verdana"/>
        </w:rPr>
        <w:t xml:space="preserve"> of </w:t>
      </w:r>
      <w:proofErr w:type="spellStart"/>
      <w:r w:rsidRPr="00A61430">
        <w:rPr>
          <w:rFonts w:ascii="Verdana" w:hAnsi="Verdana"/>
        </w:rPr>
        <w:t>Azerbaijan</w:t>
      </w:r>
      <w:proofErr w:type="spellEnd"/>
      <w:r w:rsidRPr="00A61430">
        <w:rPr>
          <w:rFonts w:ascii="Verdana" w:hAnsi="Verdana"/>
        </w:rPr>
        <w:t xml:space="preserve"> </w:t>
      </w:r>
      <w:proofErr w:type="spellStart"/>
      <w:r w:rsidRPr="00A61430">
        <w:rPr>
          <w:rFonts w:ascii="Verdana" w:hAnsi="Verdana"/>
        </w:rPr>
        <w:t>Republic</w:t>
      </w:r>
      <w:proofErr w:type="spellEnd"/>
      <w:r w:rsidRPr="00A61430">
        <w:rPr>
          <w:rFonts w:ascii="Verdana" w:hAnsi="Verdana"/>
        </w:rPr>
        <w:t xml:space="preserve">). Το όραμα του νυν Προέδρου είναι να μετατρέψει σταδιακά τον όμιλο της SOCAR από έναν εθνικό σε </w:t>
      </w:r>
      <w:r w:rsidRPr="00A61430">
        <w:rPr>
          <w:rFonts w:ascii="Verdana" w:hAnsi="Verdana"/>
          <w:b/>
          <w:bCs/>
        </w:rPr>
        <w:t>περιφερειακό ενεργειακό όμιλο</w:t>
      </w:r>
      <w:r w:rsidRPr="00A61430">
        <w:rPr>
          <w:rFonts w:ascii="Verdana" w:hAnsi="Verdana"/>
        </w:rPr>
        <w:t xml:space="preserve">. Έτσι, η SOCAR τα τελευταία 10 περίπου χρόνια έχει αναλάβει σειρά αυτόνομων επιχειρηματικών πρωτοβουλιών όπως λ.χ. την ίδρυση (2007) της </w:t>
      </w:r>
      <w:proofErr w:type="spellStart"/>
      <w:r w:rsidRPr="00A61430">
        <w:rPr>
          <w:rFonts w:ascii="Verdana" w:hAnsi="Verdana"/>
        </w:rPr>
        <w:t>Socar</w:t>
      </w:r>
      <w:proofErr w:type="spellEnd"/>
      <w:r w:rsidRPr="00A61430">
        <w:rPr>
          <w:rFonts w:ascii="Verdana" w:hAnsi="Verdana"/>
        </w:rPr>
        <w:t xml:space="preserve"> Trading</w:t>
      </w:r>
      <w:r w:rsidR="00F007B2" w:rsidRPr="00A61430">
        <w:rPr>
          <w:rFonts w:ascii="Verdana" w:hAnsi="Verdana"/>
        </w:rPr>
        <w:t xml:space="preserve"> στη Γενεύη (</w:t>
      </w:r>
      <w:r w:rsidRPr="00A61430">
        <w:rPr>
          <w:rFonts w:ascii="Verdana" w:hAnsi="Verdana"/>
        </w:rPr>
        <w:t>μέσω της οποίας η SOCAR εμπορεύεται διεθνώς το πετρέλαιό της και ποσότ</w:t>
      </w:r>
      <w:r w:rsidR="00F007B2" w:rsidRPr="00A61430">
        <w:rPr>
          <w:rFonts w:ascii="Verdana" w:hAnsi="Verdana"/>
        </w:rPr>
        <w:t>ητες πετρελαίου από άλλες πηγές),</w:t>
      </w:r>
      <w:r w:rsidRPr="00A61430">
        <w:rPr>
          <w:rFonts w:ascii="Verdana" w:hAnsi="Verdana"/>
        </w:rPr>
        <w:t xml:space="preserve"> την απόκτηση (2008) του μεγαλύτερου πετροχημικού συγκ</w:t>
      </w:r>
      <w:r w:rsidR="00F007B2" w:rsidRPr="00A61430">
        <w:rPr>
          <w:rFonts w:ascii="Verdana" w:hAnsi="Verdana"/>
        </w:rPr>
        <w:t>ροτήματος της Τουρκίας (ΡΕΤΚΙΜ)</w:t>
      </w:r>
      <w:r w:rsidRPr="00A61430">
        <w:rPr>
          <w:rFonts w:ascii="Verdana" w:hAnsi="Verdana"/>
        </w:rPr>
        <w:t xml:space="preserve"> </w:t>
      </w:r>
      <w:r w:rsidR="00F007B2" w:rsidRPr="00A61430">
        <w:rPr>
          <w:rFonts w:ascii="Verdana" w:hAnsi="Verdana"/>
        </w:rPr>
        <w:t>στη Σμύρνη, ό</w:t>
      </w:r>
      <w:r w:rsidRPr="00A61430">
        <w:rPr>
          <w:rFonts w:ascii="Verdana" w:hAnsi="Verdana"/>
        </w:rPr>
        <w:t xml:space="preserve">που από τον Οκτώβριο του 2018 </w:t>
      </w:r>
      <w:r w:rsidR="00F007B2" w:rsidRPr="00A61430">
        <w:rPr>
          <w:rFonts w:ascii="Verdana" w:hAnsi="Verdana"/>
        </w:rPr>
        <w:t>λειτουργεί</w:t>
      </w:r>
      <w:r w:rsidRPr="00A61430">
        <w:rPr>
          <w:rFonts w:ascii="Verdana" w:hAnsi="Verdana"/>
        </w:rPr>
        <w:t xml:space="preserve"> το τεράστιο διυλιστήριο </w:t>
      </w:r>
      <w:proofErr w:type="spellStart"/>
      <w:r w:rsidRPr="00A61430">
        <w:rPr>
          <w:rFonts w:ascii="Verdana" w:hAnsi="Verdana"/>
        </w:rPr>
        <w:t>Star</w:t>
      </w:r>
      <w:proofErr w:type="spellEnd"/>
      <w:r w:rsidRPr="00A61430">
        <w:rPr>
          <w:rFonts w:ascii="Verdana" w:hAnsi="Verdana"/>
        </w:rPr>
        <w:t xml:space="preserve"> και του γεωργιανού τερματικού σταθμού </w:t>
      </w:r>
      <w:proofErr w:type="spellStart"/>
      <w:r w:rsidRPr="00A61430">
        <w:rPr>
          <w:rFonts w:ascii="Verdana" w:hAnsi="Verdana"/>
        </w:rPr>
        <w:t>Kulevi</w:t>
      </w:r>
      <w:proofErr w:type="spellEnd"/>
      <w:r w:rsidRPr="00A61430">
        <w:rPr>
          <w:rFonts w:ascii="Verdana" w:hAnsi="Verdana"/>
        </w:rPr>
        <w:t xml:space="preserve">, καθώς </w:t>
      </w:r>
      <w:r w:rsidRPr="00A61430">
        <w:rPr>
          <w:rFonts w:ascii="Verdana" w:hAnsi="Verdana"/>
        </w:rPr>
        <w:lastRenderedPageBreak/>
        <w:t xml:space="preserve">και τη δημιουργία δικτύου σταθμών λιανικής -υπό την επωνυμία SOCAR- στη Γεωργία, την Ουκρανία, την Ελβετία και τη Ρουμανία.    </w:t>
      </w:r>
    </w:p>
    <w:p w:rsidR="000B6119" w:rsidRDefault="004B6DB2" w:rsidP="000E6399">
      <w:pPr>
        <w:jc w:val="both"/>
        <w:rPr>
          <w:rFonts w:ascii="Verdana" w:hAnsi="Verdana"/>
        </w:rPr>
      </w:pPr>
      <w:r w:rsidRPr="00571DB6">
        <w:rPr>
          <w:rFonts w:ascii="Verdana" w:hAnsi="Verdana"/>
        </w:rPr>
        <w:t xml:space="preserve">Όχημα για την επίτευξη των στόχων της </w:t>
      </w:r>
      <w:proofErr w:type="spellStart"/>
      <w:r w:rsidRPr="00571DB6">
        <w:rPr>
          <w:rFonts w:ascii="Verdana" w:hAnsi="Verdana"/>
        </w:rPr>
        <w:t>αζερικής</w:t>
      </w:r>
      <w:proofErr w:type="spellEnd"/>
      <w:r w:rsidRPr="00571DB6">
        <w:rPr>
          <w:rFonts w:ascii="Verdana" w:hAnsi="Verdana"/>
        </w:rPr>
        <w:t xml:space="preserve"> ενεργειακής στρατηγικής είναι η σύναψη των λεγόμενων «Συμφωνιών Καταμερισμού Παραγωγής» (PSA, </w:t>
      </w:r>
      <w:proofErr w:type="spellStart"/>
      <w:r w:rsidRPr="00571DB6">
        <w:rPr>
          <w:rFonts w:ascii="Verdana" w:hAnsi="Verdana"/>
        </w:rPr>
        <w:t>Production</w:t>
      </w:r>
      <w:proofErr w:type="spellEnd"/>
      <w:r w:rsidRPr="00571DB6">
        <w:rPr>
          <w:rFonts w:ascii="Verdana" w:hAnsi="Verdana"/>
        </w:rPr>
        <w:t xml:space="preserve"> </w:t>
      </w:r>
      <w:proofErr w:type="spellStart"/>
      <w:r w:rsidRPr="00571DB6">
        <w:rPr>
          <w:rFonts w:ascii="Verdana" w:hAnsi="Verdana"/>
        </w:rPr>
        <w:t>Sharing</w:t>
      </w:r>
      <w:proofErr w:type="spellEnd"/>
      <w:r w:rsidRPr="00571DB6">
        <w:rPr>
          <w:rFonts w:ascii="Verdana" w:hAnsi="Verdana"/>
        </w:rPr>
        <w:t xml:space="preserve"> </w:t>
      </w:r>
      <w:proofErr w:type="spellStart"/>
      <w:r w:rsidRPr="00571DB6">
        <w:rPr>
          <w:rFonts w:ascii="Verdana" w:hAnsi="Verdana"/>
        </w:rPr>
        <w:t>Agreements</w:t>
      </w:r>
      <w:proofErr w:type="spellEnd"/>
      <w:r w:rsidRPr="00571DB6">
        <w:rPr>
          <w:rFonts w:ascii="Verdana" w:hAnsi="Verdana"/>
        </w:rPr>
        <w:t>), με διεθνείς κοινοπραξίες</w:t>
      </w:r>
      <w:r w:rsidR="000316B5">
        <w:rPr>
          <w:rFonts w:ascii="Verdana" w:hAnsi="Verdana"/>
        </w:rPr>
        <w:t>,</w:t>
      </w:r>
      <w:r w:rsidRPr="00571DB6">
        <w:rPr>
          <w:rFonts w:ascii="Verdana" w:hAnsi="Verdana"/>
        </w:rPr>
        <w:t xml:space="preserve"> στις οποίες την πλειοψηφία </w:t>
      </w:r>
      <w:r w:rsidR="000316B5">
        <w:rPr>
          <w:rFonts w:ascii="Verdana" w:hAnsi="Verdana"/>
        </w:rPr>
        <w:t>κατέχουν</w:t>
      </w:r>
      <w:r w:rsidRPr="00571DB6">
        <w:rPr>
          <w:rFonts w:ascii="Verdana" w:hAnsi="Verdana"/>
        </w:rPr>
        <w:t xml:space="preserve"> ξένες πετρελαϊκές εταιρείες, μολονότι συμμετέχει και η SOCAR. Η πρώτη αλλά και σημαντικότερη τέτοια συμφωνία, γνωστή ως «Συμβόλα</w:t>
      </w:r>
      <w:r w:rsidR="000316B5">
        <w:rPr>
          <w:rFonts w:ascii="Verdana" w:hAnsi="Verdana"/>
        </w:rPr>
        <w:t xml:space="preserve">ιο του Αιώνα», υπεγράφη στις 20.09.1994 με εταιρείες από 6-αργότερα 7- </w:t>
      </w:r>
      <w:r w:rsidRPr="00571DB6">
        <w:rPr>
          <w:rFonts w:ascii="Verdana" w:hAnsi="Verdana"/>
        </w:rPr>
        <w:t xml:space="preserve">χώρες, οι οποίες </w:t>
      </w:r>
      <w:proofErr w:type="spellStart"/>
      <w:r w:rsidRPr="00571DB6">
        <w:rPr>
          <w:rFonts w:ascii="Verdana" w:hAnsi="Verdana"/>
        </w:rPr>
        <w:t>συνέπηξαν</w:t>
      </w:r>
      <w:proofErr w:type="spellEnd"/>
      <w:r w:rsidRPr="00571DB6">
        <w:rPr>
          <w:rFonts w:ascii="Verdana" w:hAnsi="Verdana"/>
        </w:rPr>
        <w:t xml:space="preserve"> την κοινοπραξία </w:t>
      </w:r>
      <w:proofErr w:type="spellStart"/>
      <w:r w:rsidRPr="000B6119">
        <w:rPr>
          <w:rFonts w:ascii="Verdana" w:hAnsi="Verdana"/>
        </w:rPr>
        <w:t>Azerbaijan</w:t>
      </w:r>
      <w:proofErr w:type="spellEnd"/>
      <w:r w:rsidRPr="000B6119">
        <w:rPr>
          <w:rFonts w:ascii="Verdana" w:hAnsi="Verdana"/>
        </w:rPr>
        <w:t xml:space="preserve"> International </w:t>
      </w:r>
      <w:proofErr w:type="spellStart"/>
      <w:r w:rsidRPr="000B6119">
        <w:rPr>
          <w:rFonts w:ascii="Verdana" w:hAnsi="Verdana"/>
        </w:rPr>
        <w:t>Operating</w:t>
      </w:r>
      <w:proofErr w:type="spellEnd"/>
      <w:r w:rsidRPr="000B6119">
        <w:rPr>
          <w:rFonts w:ascii="Verdana" w:hAnsi="Verdana"/>
        </w:rPr>
        <w:t xml:space="preserve"> </w:t>
      </w:r>
      <w:proofErr w:type="spellStart"/>
      <w:r w:rsidRPr="000B6119">
        <w:rPr>
          <w:rFonts w:ascii="Verdana" w:hAnsi="Verdana"/>
        </w:rPr>
        <w:t>Company</w:t>
      </w:r>
      <w:proofErr w:type="spellEnd"/>
      <w:r w:rsidRPr="000B6119">
        <w:rPr>
          <w:rFonts w:ascii="Verdana" w:hAnsi="Verdana"/>
        </w:rPr>
        <w:t xml:space="preserve"> </w:t>
      </w:r>
      <w:r w:rsidRPr="000B6119">
        <w:rPr>
          <w:rFonts w:ascii="Verdana" w:hAnsi="Verdana"/>
          <w:b/>
        </w:rPr>
        <w:t>(AIOC).</w:t>
      </w:r>
      <w:r w:rsidRPr="00571DB6">
        <w:rPr>
          <w:rFonts w:ascii="Verdana" w:hAnsi="Verdana"/>
        </w:rPr>
        <w:t xml:space="preserve"> </w:t>
      </w:r>
      <w:r w:rsidR="000B6119">
        <w:rPr>
          <w:rFonts w:ascii="Verdana" w:hAnsi="Verdana"/>
        </w:rPr>
        <w:t>Η εν λόγω συμφωνία α</w:t>
      </w:r>
      <w:r w:rsidRPr="00571DB6">
        <w:rPr>
          <w:rFonts w:ascii="Verdana" w:hAnsi="Verdana"/>
        </w:rPr>
        <w:t xml:space="preserve">φορούσε </w:t>
      </w:r>
      <w:r w:rsidRPr="000B6119">
        <w:rPr>
          <w:rFonts w:ascii="Verdana" w:hAnsi="Verdana"/>
          <w:b/>
        </w:rPr>
        <w:t>το κύριο κοίτασμα πετρελαίου της χώρας -υπεύθυνο για το 80% της παραγωγής- τ</w:t>
      </w:r>
      <w:r w:rsidRPr="0077030D">
        <w:rPr>
          <w:rFonts w:ascii="Verdana" w:hAnsi="Verdana"/>
          <w:b/>
        </w:rPr>
        <w:t xml:space="preserve">ο </w:t>
      </w:r>
      <w:proofErr w:type="spellStart"/>
      <w:r w:rsidRPr="0077030D">
        <w:rPr>
          <w:rFonts w:ascii="Verdana" w:hAnsi="Verdana"/>
          <w:b/>
        </w:rPr>
        <w:t>Αζέρι-Σιράγκ-Γκιουνασλί</w:t>
      </w:r>
      <w:proofErr w:type="spellEnd"/>
      <w:r w:rsidRPr="0077030D">
        <w:rPr>
          <w:rFonts w:ascii="Verdana" w:hAnsi="Verdana"/>
          <w:b/>
        </w:rPr>
        <w:t xml:space="preserve"> (ACG).</w:t>
      </w:r>
      <w:r w:rsidRPr="00571DB6">
        <w:rPr>
          <w:rFonts w:ascii="Verdana" w:hAnsi="Verdana"/>
        </w:rPr>
        <w:t xml:space="preserve"> Αυτό είχε ανακαλυφθεί κατά την ύστερη σοβιετική περίοδο, από το 1979 ως </w:t>
      </w:r>
      <w:r w:rsidR="000E6399">
        <w:rPr>
          <w:rFonts w:ascii="Verdana" w:hAnsi="Verdana"/>
        </w:rPr>
        <w:t xml:space="preserve">το 1988, αλλά, με εξαίρεση </w:t>
      </w:r>
      <w:r w:rsidRPr="00571DB6">
        <w:rPr>
          <w:rFonts w:ascii="Verdana" w:hAnsi="Verdana"/>
        </w:rPr>
        <w:t xml:space="preserve">το αβαθές τμήμα του </w:t>
      </w:r>
      <w:proofErr w:type="spellStart"/>
      <w:r w:rsidRPr="00571DB6">
        <w:rPr>
          <w:rFonts w:ascii="Verdana" w:hAnsi="Verdana"/>
        </w:rPr>
        <w:t>Γκιουνασλί</w:t>
      </w:r>
      <w:proofErr w:type="spellEnd"/>
      <w:r w:rsidRPr="00571DB6">
        <w:rPr>
          <w:rFonts w:ascii="Verdana" w:hAnsi="Verdana"/>
        </w:rPr>
        <w:t xml:space="preserve"> (εκμετάλλευσης SOCAR), παρέμενε αναξιοποίητο, ελλείψει </w:t>
      </w:r>
      <w:proofErr w:type="spellStart"/>
      <w:r w:rsidRPr="00571DB6">
        <w:rPr>
          <w:rFonts w:ascii="Verdana" w:hAnsi="Verdana"/>
        </w:rPr>
        <w:t>know-how</w:t>
      </w:r>
      <w:proofErr w:type="spellEnd"/>
      <w:r w:rsidRPr="00571DB6">
        <w:rPr>
          <w:rFonts w:ascii="Verdana" w:hAnsi="Verdana"/>
        </w:rPr>
        <w:t xml:space="preserve"> και, βεβαίως, κεφαλαίων. Το </w:t>
      </w:r>
      <w:proofErr w:type="spellStart"/>
      <w:r w:rsidRPr="00571DB6">
        <w:rPr>
          <w:rFonts w:ascii="Verdana" w:hAnsi="Verdana"/>
        </w:rPr>
        <w:t>Σιράγκ</w:t>
      </w:r>
      <w:proofErr w:type="spellEnd"/>
      <w:r w:rsidRPr="00571DB6">
        <w:rPr>
          <w:rFonts w:ascii="Verdana" w:hAnsi="Verdana"/>
        </w:rPr>
        <w:t xml:space="preserve"> ξεκίνησε να </w:t>
      </w:r>
      <w:proofErr w:type="spellStart"/>
      <w:r w:rsidR="000E6399">
        <w:rPr>
          <w:rFonts w:ascii="Verdana" w:hAnsi="Verdana"/>
        </w:rPr>
        <w:t>παράγει</w:t>
      </w:r>
      <w:r w:rsidRPr="00571DB6">
        <w:rPr>
          <w:rFonts w:ascii="Verdana" w:hAnsi="Verdana"/>
        </w:rPr>
        <w:t>ι</w:t>
      </w:r>
      <w:proofErr w:type="spellEnd"/>
      <w:r w:rsidRPr="00571DB6">
        <w:rPr>
          <w:rFonts w:ascii="Verdana" w:hAnsi="Verdana"/>
        </w:rPr>
        <w:t xml:space="preserve"> πετρέλαιο το 1997, το </w:t>
      </w:r>
      <w:proofErr w:type="spellStart"/>
      <w:r w:rsidRPr="00571DB6">
        <w:rPr>
          <w:rFonts w:ascii="Verdana" w:hAnsi="Verdana"/>
        </w:rPr>
        <w:t>Αζέρι</w:t>
      </w:r>
      <w:proofErr w:type="spellEnd"/>
      <w:r w:rsidRPr="00571DB6">
        <w:rPr>
          <w:rFonts w:ascii="Verdana" w:hAnsi="Verdana"/>
        </w:rPr>
        <w:t xml:space="preserve"> το 2005 και το βαθύ </w:t>
      </w:r>
      <w:proofErr w:type="spellStart"/>
      <w:r w:rsidRPr="00571DB6">
        <w:rPr>
          <w:rFonts w:ascii="Verdana" w:hAnsi="Verdana"/>
        </w:rPr>
        <w:t>Γκιουνασλί</w:t>
      </w:r>
      <w:proofErr w:type="spellEnd"/>
      <w:r w:rsidRPr="00571DB6">
        <w:rPr>
          <w:rFonts w:ascii="Verdana" w:hAnsi="Verdana"/>
        </w:rPr>
        <w:t xml:space="preserve"> το 2008. </w:t>
      </w:r>
    </w:p>
    <w:p w:rsidR="000E6399" w:rsidRPr="00A61430" w:rsidRDefault="004B6DB2" w:rsidP="000E6399">
      <w:pPr>
        <w:jc w:val="both"/>
        <w:rPr>
          <w:rFonts w:ascii="Verdana" w:hAnsi="Verdana"/>
        </w:rPr>
      </w:pPr>
      <w:r w:rsidRPr="00571DB6">
        <w:rPr>
          <w:rFonts w:ascii="Verdana" w:hAnsi="Verdana"/>
        </w:rPr>
        <w:t>Η αρχική PSA για το ACG ήταν 30τους διάρκειας και ως τέτ</w:t>
      </w:r>
      <w:r w:rsidR="000316B5">
        <w:rPr>
          <w:rFonts w:ascii="Verdana" w:hAnsi="Verdana"/>
        </w:rPr>
        <w:t>οια θα εξέπνεε το 2024. Στις 14.09.</w:t>
      </w:r>
      <w:r w:rsidRPr="00571DB6">
        <w:rPr>
          <w:rFonts w:ascii="Verdana" w:hAnsi="Verdana"/>
        </w:rPr>
        <w:t>2017, σχεδόν 23 χρόνια μετά την υπογραφή της αρχικής PSA, η SOCAR για λογαριασμό του Αζερμπαϊτζάν</w:t>
      </w:r>
      <w:r w:rsidR="000E6399">
        <w:rPr>
          <w:rFonts w:ascii="Verdana" w:hAnsi="Verdana"/>
        </w:rPr>
        <w:t xml:space="preserve"> και η AIOC,</w:t>
      </w:r>
      <w:r w:rsidR="000316B5">
        <w:rPr>
          <w:rFonts w:ascii="Verdana" w:hAnsi="Verdana"/>
        </w:rPr>
        <w:t xml:space="preserve"> </w:t>
      </w:r>
      <w:r w:rsidR="000E6399" w:rsidRPr="00A61430">
        <w:rPr>
          <w:rFonts w:ascii="Verdana" w:hAnsi="Verdana"/>
        </w:rPr>
        <w:t xml:space="preserve">υπό την ηγεσία της ΒΡ, </w:t>
      </w:r>
      <w:r w:rsidR="000316B5">
        <w:rPr>
          <w:rFonts w:ascii="Verdana" w:hAnsi="Verdana"/>
        </w:rPr>
        <w:t xml:space="preserve">τροποποίησαν και ανανέωσαν την </w:t>
      </w:r>
      <w:r w:rsidRPr="00571DB6">
        <w:rPr>
          <w:rFonts w:ascii="Verdana" w:hAnsi="Verdana"/>
        </w:rPr>
        <w:t xml:space="preserve">PSA </w:t>
      </w:r>
      <w:r w:rsidR="000E6399" w:rsidRPr="00A61430">
        <w:rPr>
          <w:rFonts w:ascii="Verdana" w:hAnsi="Verdana"/>
          <w:b/>
          <w:bCs/>
          <w:i/>
          <w:iCs/>
        </w:rPr>
        <w:t>(Συμφωνία Καταμερισμού Παραγωγής)</w:t>
      </w:r>
      <w:r w:rsidR="000E6399" w:rsidRPr="00A61430">
        <w:rPr>
          <w:rFonts w:ascii="Verdana" w:hAnsi="Verdana"/>
        </w:rPr>
        <w:t xml:space="preserve"> του </w:t>
      </w:r>
      <w:r w:rsidR="000E6399">
        <w:rPr>
          <w:rFonts w:ascii="Verdana" w:hAnsi="Verdana"/>
        </w:rPr>
        <w:t>ACG για άλλα 32 έτη, έως τις 31.12.</w:t>
      </w:r>
      <w:r w:rsidR="000E6399" w:rsidRPr="00A61430">
        <w:rPr>
          <w:rFonts w:ascii="Verdana" w:hAnsi="Verdana"/>
        </w:rPr>
        <w:t>2049</w:t>
      </w:r>
      <w:r w:rsidR="000E6399">
        <w:rPr>
          <w:rFonts w:ascii="Verdana" w:hAnsi="Verdana"/>
        </w:rPr>
        <w:t xml:space="preserve"> </w:t>
      </w:r>
      <w:r w:rsidRPr="00571DB6">
        <w:rPr>
          <w:rFonts w:ascii="Verdana" w:hAnsi="Verdana"/>
        </w:rPr>
        <w:t>τερματίζοντας μια αβεβαιότητα τεσσάρων ετών συνομιλιών και ανοίγοντας το δρόμο για νέες ε</w:t>
      </w:r>
      <w:r w:rsidR="000E6399">
        <w:rPr>
          <w:rFonts w:ascii="Verdana" w:hAnsi="Verdana"/>
        </w:rPr>
        <w:t>πενδύσεις στον ενεργειακό κλάδο</w:t>
      </w:r>
      <w:r w:rsidR="000E6399" w:rsidRPr="00A61430">
        <w:rPr>
          <w:rFonts w:ascii="Verdana" w:hAnsi="Verdana"/>
        </w:rPr>
        <w:t>. Η ανανεωμ</w:t>
      </w:r>
      <w:r w:rsidR="000316B5">
        <w:rPr>
          <w:rFonts w:ascii="Verdana" w:hAnsi="Verdana"/>
        </w:rPr>
        <w:t xml:space="preserve">ένη PSA κυρώθηκε από την </w:t>
      </w:r>
      <w:proofErr w:type="spellStart"/>
      <w:r w:rsidR="000316B5">
        <w:rPr>
          <w:rFonts w:ascii="Verdana" w:hAnsi="Verdana"/>
        </w:rPr>
        <w:t>αζέρικη</w:t>
      </w:r>
      <w:proofErr w:type="spellEnd"/>
      <w:r w:rsidR="000E6399" w:rsidRPr="00A61430">
        <w:rPr>
          <w:rFonts w:ascii="Verdana" w:hAnsi="Verdana"/>
        </w:rPr>
        <w:t xml:space="preserve"> Βουλή και είναι πλέον νόμος του κράτους, ενώ το Oil Fund (</w:t>
      </w:r>
      <w:r w:rsidR="000E6399" w:rsidRPr="00A61430">
        <w:rPr>
          <w:rFonts w:ascii="Verdana" w:hAnsi="Verdana"/>
          <w:lang w:val="en-US"/>
        </w:rPr>
        <w:t>SOFAZ</w:t>
      </w:r>
      <w:r w:rsidR="000E6399" w:rsidRPr="00A61430">
        <w:rPr>
          <w:rFonts w:ascii="Verdana" w:hAnsi="Verdana"/>
        </w:rPr>
        <w:t>) θα λάβει ως “</w:t>
      </w:r>
      <w:proofErr w:type="spellStart"/>
      <w:r w:rsidR="000E6399" w:rsidRPr="00A61430">
        <w:rPr>
          <w:rFonts w:ascii="Verdana" w:hAnsi="Verdana"/>
        </w:rPr>
        <w:t>bonus</w:t>
      </w:r>
      <w:proofErr w:type="spellEnd"/>
      <w:r w:rsidR="000E6399" w:rsidRPr="00A61430">
        <w:rPr>
          <w:rFonts w:ascii="Verdana" w:hAnsi="Verdana"/>
        </w:rPr>
        <w:t xml:space="preserve">” από την AIOC το ποσό των 3,6 δις </w:t>
      </w:r>
      <w:r w:rsidR="000E6399" w:rsidRPr="00A61430">
        <w:rPr>
          <w:rFonts w:ascii="Verdana" w:hAnsi="Verdana"/>
          <w:lang w:val="en-US"/>
        </w:rPr>
        <w:t>USD</w:t>
      </w:r>
      <w:r w:rsidR="000E6399" w:rsidRPr="00A61430">
        <w:rPr>
          <w:rFonts w:ascii="Verdana" w:hAnsi="Verdana"/>
        </w:rPr>
        <w:t xml:space="preserve"> (σε 8 δόσεις). </w:t>
      </w:r>
      <w:r w:rsidR="00514288" w:rsidRPr="00571DB6">
        <w:rPr>
          <w:rFonts w:ascii="Verdana" w:hAnsi="Verdana"/>
        </w:rPr>
        <w:t>Μετά την τροποποίηση, η μετοχική συμμετοχή της S</w:t>
      </w:r>
      <w:r w:rsidR="000316B5">
        <w:rPr>
          <w:rFonts w:ascii="Verdana" w:hAnsi="Verdana"/>
        </w:rPr>
        <w:t xml:space="preserve">OCAR στην AIOC υπερδιπλασιάστηκε και ανήλθε από 11,65% σε </w:t>
      </w:r>
      <w:r w:rsidR="00514288" w:rsidRPr="00571DB6">
        <w:rPr>
          <w:rFonts w:ascii="Verdana" w:hAnsi="Verdana"/>
        </w:rPr>
        <w:t xml:space="preserve">25%. Ως εκ τούτου, τα μερίδια των αλλοδαπών </w:t>
      </w:r>
      <w:r w:rsidR="000316B5">
        <w:rPr>
          <w:rFonts w:ascii="Verdana" w:hAnsi="Verdana"/>
        </w:rPr>
        <w:t xml:space="preserve">εταιρειών </w:t>
      </w:r>
      <w:proofErr w:type="spellStart"/>
      <w:r w:rsidR="000316B5">
        <w:rPr>
          <w:rFonts w:ascii="Verdana" w:hAnsi="Verdana"/>
        </w:rPr>
        <w:t>μειώθησαν</w:t>
      </w:r>
      <w:proofErr w:type="spellEnd"/>
      <w:r w:rsidR="00514288" w:rsidRPr="00571DB6">
        <w:rPr>
          <w:rFonts w:ascii="Verdana" w:hAnsi="Verdana"/>
        </w:rPr>
        <w:t xml:space="preserve"> αντίστοιχα και </w:t>
      </w:r>
      <w:r w:rsidR="000316B5">
        <w:rPr>
          <w:rFonts w:ascii="Verdana" w:hAnsi="Verdana"/>
        </w:rPr>
        <w:t>έχουν πλέον</w:t>
      </w:r>
      <w:r w:rsidR="00514288" w:rsidRPr="00571DB6">
        <w:rPr>
          <w:rFonts w:ascii="Verdana" w:hAnsi="Verdana"/>
        </w:rPr>
        <w:t xml:space="preserve"> ως εξής: BP 30,37%, </w:t>
      </w:r>
      <w:proofErr w:type="spellStart"/>
      <w:r w:rsidR="00514288" w:rsidRPr="00571DB6">
        <w:rPr>
          <w:rFonts w:ascii="Verdana" w:hAnsi="Verdana"/>
        </w:rPr>
        <w:t>Chevron</w:t>
      </w:r>
      <w:proofErr w:type="spellEnd"/>
      <w:r w:rsidR="00514288" w:rsidRPr="00571DB6">
        <w:rPr>
          <w:rFonts w:ascii="Verdana" w:hAnsi="Verdana"/>
        </w:rPr>
        <w:t xml:space="preserve"> 9,56%, </w:t>
      </w:r>
      <w:proofErr w:type="spellStart"/>
      <w:r w:rsidR="00514288" w:rsidRPr="00571DB6">
        <w:rPr>
          <w:rFonts w:ascii="Verdana" w:hAnsi="Verdana"/>
        </w:rPr>
        <w:t>Inpex</w:t>
      </w:r>
      <w:proofErr w:type="spellEnd"/>
      <w:r w:rsidR="00514288" w:rsidRPr="00571DB6">
        <w:rPr>
          <w:rFonts w:ascii="Verdana" w:hAnsi="Verdana"/>
        </w:rPr>
        <w:t xml:space="preserve"> Corp. 9,31%, </w:t>
      </w:r>
      <w:proofErr w:type="spellStart"/>
      <w:r w:rsidR="00514288" w:rsidRPr="00571DB6">
        <w:rPr>
          <w:rFonts w:ascii="Verdana" w:hAnsi="Verdana"/>
        </w:rPr>
        <w:t>Statoil</w:t>
      </w:r>
      <w:proofErr w:type="spellEnd"/>
      <w:r w:rsidR="00514288" w:rsidRPr="00571DB6">
        <w:rPr>
          <w:rFonts w:ascii="Verdana" w:hAnsi="Verdana"/>
        </w:rPr>
        <w:t xml:space="preserve"> </w:t>
      </w:r>
      <w:proofErr w:type="spellStart"/>
      <w:r w:rsidR="00514288" w:rsidRPr="00571DB6">
        <w:rPr>
          <w:rFonts w:ascii="Verdana" w:hAnsi="Verdana"/>
        </w:rPr>
        <w:t>Hydro</w:t>
      </w:r>
      <w:proofErr w:type="spellEnd"/>
      <w:r w:rsidR="00514288" w:rsidRPr="00571DB6">
        <w:rPr>
          <w:rFonts w:ascii="Verdana" w:hAnsi="Verdana"/>
        </w:rPr>
        <w:t xml:space="preserve"> 7,27%, </w:t>
      </w:r>
      <w:proofErr w:type="spellStart"/>
      <w:r w:rsidR="00514288" w:rsidRPr="00571DB6">
        <w:rPr>
          <w:rFonts w:ascii="Verdana" w:hAnsi="Verdana"/>
        </w:rPr>
        <w:t>ExxonMobil</w:t>
      </w:r>
      <w:proofErr w:type="spellEnd"/>
      <w:r w:rsidR="00514288" w:rsidRPr="00571DB6">
        <w:rPr>
          <w:rFonts w:ascii="Verdana" w:hAnsi="Verdana"/>
        </w:rPr>
        <w:t xml:space="preserve"> 6,79%, TPAO 5,73%, </w:t>
      </w:r>
      <w:proofErr w:type="spellStart"/>
      <w:r w:rsidR="00514288" w:rsidRPr="00571DB6">
        <w:rPr>
          <w:rFonts w:ascii="Verdana" w:hAnsi="Verdana"/>
        </w:rPr>
        <w:t>Itochu</w:t>
      </w:r>
      <w:proofErr w:type="spellEnd"/>
      <w:r w:rsidR="00514288" w:rsidRPr="00571DB6">
        <w:rPr>
          <w:rFonts w:ascii="Verdana" w:hAnsi="Verdana"/>
        </w:rPr>
        <w:t xml:space="preserve"> Oil 3,65% και ONGC 2,31%. </w:t>
      </w:r>
      <w:r w:rsidR="000E6399" w:rsidRPr="00A61430">
        <w:rPr>
          <w:rFonts w:ascii="Verdana" w:hAnsi="Verdana"/>
        </w:rPr>
        <w:t xml:space="preserve">Ο κύριος όγκος της παραγωγής αργού </w:t>
      </w:r>
      <w:r w:rsidR="00514288" w:rsidRPr="00571DB6">
        <w:rPr>
          <w:rFonts w:ascii="Verdana" w:hAnsi="Verdana"/>
        </w:rPr>
        <w:t xml:space="preserve">του </w:t>
      </w:r>
      <w:r w:rsidR="00514288">
        <w:rPr>
          <w:rFonts w:ascii="Verdana" w:hAnsi="Verdana"/>
        </w:rPr>
        <w:t xml:space="preserve">κοιτάσματος </w:t>
      </w:r>
      <w:r w:rsidR="00514288" w:rsidRPr="00571DB6">
        <w:rPr>
          <w:rFonts w:ascii="Verdana" w:hAnsi="Verdana"/>
        </w:rPr>
        <w:t xml:space="preserve">ACG </w:t>
      </w:r>
      <w:r w:rsidR="000E6399" w:rsidRPr="00A61430">
        <w:rPr>
          <w:rFonts w:ascii="Verdana" w:hAnsi="Verdana"/>
        </w:rPr>
        <w:t>τροφο</w:t>
      </w:r>
      <w:r w:rsidR="000316B5">
        <w:rPr>
          <w:rFonts w:ascii="Verdana" w:hAnsi="Verdana"/>
        </w:rPr>
        <w:t xml:space="preserve">δοτεί τον κύριο εξαγωγικό αγωγό BTC  προς </w:t>
      </w:r>
      <w:proofErr w:type="spellStart"/>
      <w:r w:rsidR="000316B5">
        <w:rPr>
          <w:rFonts w:ascii="Verdana" w:hAnsi="Verdana"/>
        </w:rPr>
        <w:t>Τσεϋχάν</w:t>
      </w:r>
      <w:proofErr w:type="spellEnd"/>
      <w:r w:rsidR="000316B5">
        <w:rPr>
          <w:rFonts w:ascii="Verdana" w:hAnsi="Verdana"/>
        </w:rPr>
        <w:t xml:space="preserve"> </w:t>
      </w:r>
      <w:r w:rsidR="000E6399" w:rsidRPr="00A61430">
        <w:rPr>
          <w:rFonts w:ascii="Verdana" w:hAnsi="Verdana"/>
        </w:rPr>
        <w:t xml:space="preserve">και δευτερευόντως τους δύο μικρούς αγωγούς προς </w:t>
      </w:r>
      <w:proofErr w:type="spellStart"/>
      <w:r w:rsidR="000E6399" w:rsidRPr="00A61430">
        <w:rPr>
          <w:rFonts w:ascii="Verdana" w:hAnsi="Verdana"/>
        </w:rPr>
        <w:t>Σούπσα</w:t>
      </w:r>
      <w:proofErr w:type="spellEnd"/>
      <w:r w:rsidR="000E6399" w:rsidRPr="00A61430">
        <w:rPr>
          <w:rFonts w:ascii="Verdana" w:hAnsi="Verdana"/>
        </w:rPr>
        <w:t xml:space="preserve"> και </w:t>
      </w:r>
      <w:proofErr w:type="spellStart"/>
      <w:r w:rsidR="000E6399" w:rsidRPr="00A61430">
        <w:rPr>
          <w:rFonts w:ascii="Verdana" w:hAnsi="Verdana"/>
        </w:rPr>
        <w:t>Νοβοροσίσκ</w:t>
      </w:r>
      <w:proofErr w:type="spellEnd"/>
      <w:r w:rsidR="000E6399" w:rsidRPr="00A61430">
        <w:rPr>
          <w:rFonts w:ascii="Verdana" w:hAnsi="Verdana"/>
        </w:rPr>
        <w:t xml:space="preserve">, ενώ μικρή ποσότητα εξάγεται και σιδηροδρομικώς, προς Γεωργία. Ο ΒΤC, σημειωτέον, μεταφέρει πλέον και μη </w:t>
      </w:r>
      <w:proofErr w:type="spellStart"/>
      <w:r w:rsidR="000E6399" w:rsidRPr="00A61430">
        <w:rPr>
          <w:rFonts w:ascii="Verdana" w:hAnsi="Verdana"/>
        </w:rPr>
        <w:t>αζερικό</w:t>
      </w:r>
      <w:proofErr w:type="spellEnd"/>
      <w:r w:rsidR="000E6399" w:rsidRPr="00A61430">
        <w:rPr>
          <w:rFonts w:ascii="Verdana" w:hAnsi="Verdana"/>
        </w:rPr>
        <w:t xml:space="preserve"> αργό (προέλευσης Καζακστάν και Τουρκμενιστάν).  </w:t>
      </w:r>
    </w:p>
    <w:p w:rsidR="004B6DB2" w:rsidRDefault="004B6DB2" w:rsidP="00A61430">
      <w:pPr>
        <w:jc w:val="both"/>
        <w:rPr>
          <w:rFonts w:ascii="Verdana" w:hAnsi="Verdana"/>
        </w:rPr>
      </w:pPr>
      <w:r w:rsidRPr="000B6119">
        <w:rPr>
          <w:rFonts w:ascii="Verdana" w:hAnsi="Verdana"/>
          <w:b/>
        </w:rPr>
        <w:t xml:space="preserve">Το τεράστιο </w:t>
      </w:r>
      <w:r w:rsidRPr="000B6119">
        <w:rPr>
          <w:rFonts w:ascii="Verdana" w:hAnsi="Verdana"/>
          <w:b/>
          <w:lang w:val="en-US"/>
        </w:rPr>
        <w:t>offshore</w:t>
      </w:r>
      <w:r w:rsidRPr="000B6119">
        <w:rPr>
          <w:rFonts w:ascii="Verdana" w:hAnsi="Verdana"/>
          <w:b/>
        </w:rPr>
        <w:t xml:space="preserve"> κοίτασμα </w:t>
      </w:r>
      <w:r w:rsidR="000B6119" w:rsidRPr="000B6119">
        <w:rPr>
          <w:rFonts w:ascii="Verdana" w:hAnsi="Verdana"/>
          <w:b/>
        </w:rPr>
        <w:t>φυσικού αερίου</w:t>
      </w:r>
      <w:r w:rsidRPr="000B6119">
        <w:rPr>
          <w:rFonts w:ascii="Verdana" w:hAnsi="Verdana"/>
          <w:b/>
        </w:rPr>
        <w:t xml:space="preserve"> </w:t>
      </w:r>
      <w:proofErr w:type="spellStart"/>
      <w:r w:rsidRPr="000B6119">
        <w:rPr>
          <w:rFonts w:ascii="Verdana" w:hAnsi="Verdana"/>
          <w:b/>
          <w:bCs/>
        </w:rPr>
        <w:t>Σαχ</w:t>
      </w:r>
      <w:proofErr w:type="spellEnd"/>
      <w:r w:rsidRPr="000B6119">
        <w:rPr>
          <w:rFonts w:ascii="Verdana" w:hAnsi="Verdana"/>
          <w:b/>
          <w:bCs/>
        </w:rPr>
        <w:t xml:space="preserve"> </w:t>
      </w:r>
      <w:proofErr w:type="spellStart"/>
      <w:r w:rsidRPr="000B6119">
        <w:rPr>
          <w:rFonts w:ascii="Verdana" w:hAnsi="Verdana"/>
          <w:b/>
          <w:bCs/>
        </w:rPr>
        <w:t>Ντενίζ</w:t>
      </w:r>
      <w:proofErr w:type="spellEnd"/>
      <w:r w:rsidRPr="00A61430">
        <w:rPr>
          <w:rFonts w:ascii="Verdana" w:hAnsi="Verdana"/>
        </w:rPr>
        <w:t xml:space="preserve"> ανακαλύφθηκε το 1999, χάρη σε μια </w:t>
      </w:r>
      <w:r w:rsidRPr="00A61430">
        <w:rPr>
          <w:rFonts w:ascii="Verdana" w:hAnsi="Verdana"/>
          <w:lang w:val="en-US"/>
        </w:rPr>
        <w:t>PSA</w:t>
      </w:r>
      <w:r w:rsidRPr="00A61430">
        <w:rPr>
          <w:rFonts w:ascii="Verdana" w:hAnsi="Verdana"/>
        </w:rPr>
        <w:t xml:space="preserve"> που υπεγράφη το 1996 και έχει πλέον ανανεω</w:t>
      </w:r>
      <w:r w:rsidR="000B6119">
        <w:rPr>
          <w:rFonts w:ascii="Verdana" w:hAnsi="Verdana"/>
        </w:rPr>
        <w:t xml:space="preserve">θεί μέχρι το 2048. Από το 2007 </w:t>
      </w:r>
      <w:r w:rsidRPr="00A61430">
        <w:rPr>
          <w:rFonts w:ascii="Verdana" w:hAnsi="Verdana"/>
        </w:rPr>
        <w:t>τα 2/3 της παραγωγής από την πρώτη φάση ανάπτυξης (</w:t>
      </w:r>
      <w:r w:rsidRPr="00A61430">
        <w:rPr>
          <w:rFonts w:ascii="Verdana" w:hAnsi="Verdana"/>
          <w:lang w:val="en-US"/>
        </w:rPr>
        <w:t>SD</w:t>
      </w:r>
      <w:r w:rsidRPr="00A61430">
        <w:rPr>
          <w:rFonts w:ascii="Verdana" w:hAnsi="Verdana"/>
        </w:rPr>
        <w:t xml:space="preserve">1) </w:t>
      </w:r>
      <w:r w:rsidR="000B6119">
        <w:rPr>
          <w:rFonts w:ascii="Verdana" w:hAnsi="Verdana"/>
        </w:rPr>
        <w:t xml:space="preserve">του κοιτάσματος </w:t>
      </w:r>
      <w:r w:rsidRPr="00A61430">
        <w:rPr>
          <w:rFonts w:ascii="Verdana" w:hAnsi="Verdana"/>
        </w:rPr>
        <w:t>εξάγονται μέσω του αγωγού Μπακού-</w:t>
      </w:r>
      <w:proofErr w:type="spellStart"/>
      <w:r w:rsidRPr="00A61430">
        <w:rPr>
          <w:rFonts w:ascii="Verdana" w:hAnsi="Verdana"/>
        </w:rPr>
        <w:t>Τιφλίδος</w:t>
      </w:r>
      <w:proofErr w:type="spellEnd"/>
      <w:r w:rsidRPr="00A61430">
        <w:rPr>
          <w:rFonts w:ascii="Verdana" w:hAnsi="Verdana"/>
        </w:rPr>
        <w:t>-</w:t>
      </w:r>
      <w:proofErr w:type="spellStart"/>
      <w:r w:rsidRPr="00A61430">
        <w:rPr>
          <w:rFonts w:ascii="Verdana" w:hAnsi="Verdana"/>
        </w:rPr>
        <w:t>Ερζερούμ</w:t>
      </w:r>
      <w:proofErr w:type="spellEnd"/>
      <w:r w:rsidRPr="00A61430">
        <w:rPr>
          <w:rFonts w:ascii="Verdana" w:hAnsi="Verdana"/>
        </w:rPr>
        <w:t xml:space="preserve"> (</w:t>
      </w:r>
      <w:r w:rsidRPr="00A61430">
        <w:rPr>
          <w:rFonts w:ascii="Verdana" w:hAnsi="Verdana"/>
          <w:lang w:val="en-US"/>
        </w:rPr>
        <w:t>BTE</w:t>
      </w:r>
      <w:r w:rsidRPr="00A61430">
        <w:rPr>
          <w:rFonts w:ascii="Verdana" w:hAnsi="Verdana"/>
        </w:rPr>
        <w:t xml:space="preserve">). </w:t>
      </w:r>
      <w:r w:rsidR="000B6119">
        <w:rPr>
          <w:rFonts w:ascii="Verdana" w:hAnsi="Verdana"/>
        </w:rPr>
        <w:t>Σημειώνεται, ότι διίστανται οι απόψεις μεταξ</w:t>
      </w:r>
      <w:r w:rsidR="001C37C3">
        <w:rPr>
          <w:rFonts w:ascii="Verdana" w:hAnsi="Verdana"/>
        </w:rPr>
        <w:t xml:space="preserve">ύ κρατικών και αλλοδαπών αναλυτών, αναφορικά με </w:t>
      </w:r>
      <w:r w:rsidR="000B6119">
        <w:rPr>
          <w:rFonts w:ascii="Verdana" w:hAnsi="Verdana"/>
        </w:rPr>
        <w:t>τα πραγματικά αποθέματα φυσικού αερ</w:t>
      </w:r>
      <w:r w:rsidR="001C37C3">
        <w:rPr>
          <w:rFonts w:ascii="Verdana" w:hAnsi="Verdana"/>
        </w:rPr>
        <w:t xml:space="preserve">ίου στην χώρα. Εκτιμάται, ότι </w:t>
      </w:r>
      <w:r w:rsidRPr="00A61430">
        <w:rPr>
          <w:rFonts w:ascii="Verdana" w:hAnsi="Verdana"/>
        </w:rPr>
        <w:t xml:space="preserve">οι δυνατότητες της χώρας στο Φ/Α είναι ίσως μικρότερες των </w:t>
      </w:r>
      <w:r w:rsidR="001C37C3">
        <w:rPr>
          <w:rFonts w:ascii="Verdana" w:hAnsi="Verdana"/>
        </w:rPr>
        <w:t>επισήμως παρουσιαζομένων. Χαρακτηριστικό είναι το γεγονός, ότι,</w:t>
      </w:r>
      <w:r w:rsidRPr="00A61430">
        <w:rPr>
          <w:rFonts w:ascii="Verdana" w:hAnsi="Verdana"/>
        </w:rPr>
        <w:t xml:space="preserve"> αδυνατώντας </w:t>
      </w:r>
      <w:r w:rsidRPr="00A61430">
        <w:rPr>
          <w:rFonts w:ascii="Verdana" w:hAnsi="Verdana"/>
        </w:rPr>
        <w:lastRenderedPageBreak/>
        <w:t xml:space="preserve">να καλύψει την εγχώρια ζήτηση, ήδη από τα τέλη του 2016 το Αζερμπαϊτζάν ξεκίνησε εισαγωγές από το Τουρκμενιστάν (1,1 δις </w:t>
      </w:r>
      <w:proofErr w:type="spellStart"/>
      <w:r w:rsidRPr="00A61430">
        <w:rPr>
          <w:rFonts w:ascii="Verdana" w:hAnsi="Verdana"/>
        </w:rPr>
        <w:t>κ.μ</w:t>
      </w:r>
      <w:proofErr w:type="spellEnd"/>
      <w:r w:rsidRPr="00A61430">
        <w:rPr>
          <w:rFonts w:ascii="Verdana" w:hAnsi="Verdana"/>
        </w:rPr>
        <w:t xml:space="preserve">. ετησίως), οι οποίες πραγματοποιούνται μέσω Ιράν και δη μέσω των δύο αγωγών </w:t>
      </w:r>
      <w:proofErr w:type="spellStart"/>
      <w:r w:rsidRPr="00A61430">
        <w:rPr>
          <w:rFonts w:ascii="Verdana" w:hAnsi="Verdana"/>
        </w:rPr>
        <w:t>Σαλμάς-Ναχτσιβάν</w:t>
      </w:r>
      <w:proofErr w:type="spellEnd"/>
      <w:r w:rsidRPr="00A61430">
        <w:rPr>
          <w:rFonts w:ascii="Verdana" w:hAnsi="Verdana"/>
        </w:rPr>
        <w:t xml:space="preserve"> και </w:t>
      </w:r>
      <w:proofErr w:type="spellStart"/>
      <w:r w:rsidRPr="00A61430">
        <w:rPr>
          <w:rFonts w:ascii="Verdana" w:hAnsi="Verdana"/>
        </w:rPr>
        <w:t>Ασταρά</w:t>
      </w:r>
      <w:proofErr w:type="spellEnd"/>
      <w:r w:rsidRPr="00A61430">
        <w:rPr>
          <w:rFonts w:ascii="Verdana" w:hAnsi="Verdana"/>
        </w:rPr>
        <w:t xml:space="preserve">-Μπακού. Επιπλέον, από τα τέλη Νοεμβρίου 2017, ξεκίνησαν εκ νέου οι </w:t>
      </w:r>
      <w:proofErr w:type="spellStart"/>
      <w:r w:rsidRPr="00A61430">
        <w:rPr>
          <w:rFonts w:ascii="Verdana" w:hAnsi="Verdana"/>
        </w:rPr>
        <w:t>αζερικές</w:t>
      </w:r>
      <w:proofErr w:type="spellEnd"/>
      <w:r w:rsidRPr="00A61430">
        <w:rPr>
          <w:rFonts w:ascii="Verdana" w:hAnsi="Verdana"/>
        </w:rPr>
        <w:t xml:space="preserve"> εισαγωγές Φ/Α και από τη Ρωσία, δηλαδή από την </w:t>
      </w:r>
      <w:r w:rsidRPr="00A61430">
        <w:rPr>
          <w:rFonts w:ascii="Verdana" w:hAnsi="Verdana"/>
          <w:lang w:val="en-US"/>
        </w:rPr>
        <w:t>Gazprom</w:t>
      </w:r>
      <w:r w:rsidRPr="00A61430">
        <w:rPr>
          <w:rFonts w:ascii="Verdana" w:hAnsi="Verdana"/>
        </w:rPr>
        <w:t xml:space="preserve"> (σε ύψος 1,6 δις </w:t>
      </w:r>
      <w:proofErr w:type="spellStart"/>
      <w:r w:rsidRPr="00A61430">
        <w:rPr>
          <w:rFonts w:ascii="Verdana" w:hAnsi="Verdana"/>
        </w:rPr>
        <w:t>κ.μ</w:t>
      </w:r>
      <w:proofErr w:type="spellEnd"/>
      <w:r w:rsidRPr="00A61430">
        <w:rPr>
          <w:rFonts w:ascii="Verdana" w:hAnsi="Verdana"/>
        </w:rPr>
        <w:t xml:space="preserve">. ετησίως). </w:t>
      </w:r>
    </w:p>
    <w:p w:rsidR="000B6119" w:rsidRDefault="000B6119" w:rsidP="00A61430">
      <w:pPr>
        <w:jc w:val="both"/>
        <w:rPr>
          <w:rFonts w:ascii="Verdana" w:hAnsi="Verdana"/>
        </w:rPr>
      </w:pPr>
      <w:r w:rsidRPr="000B6119">
        <w:rPr>
          <w:rFonts w:ascii="Verdana" w:hAnsi="Verdana"/>
          <w:noProof/>
          <w:lang w:val="en-US" w:eastAsia="en-US"/>
        </w:rPr>
        <w:drawing>
          <wp:inline distT="0" distB="0" distL="0" distR="0">
            <wp:extent cx="5731510" cy="2139889"/>
            <wp:effectExtent l="19050" t="0" r="2540" b="0"/>
            <wp:docPr id="6" name="Picture 6" descr="Baku_pip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u_pip_0"/>
                    <pic:cNvPicPr>
                      <a:picLocks noChangeAspect="1" noChangeArrowheads="1"/>
                    </pic:cNvPicPr>
                  </pic:nvPicPr>
                  <pic:blipFill>
                    <a:blip r:embed="rId13" cstate="print"/>
                    <a:srcRect/>
                    <a:stretch>
                      <a:fillRect/>
                    </a:stretch>
                  </pic:blipFill>
                  <pic:spPr bwMode="auto">
                    <a:xfrm>
                      <a:off x="0" y="0"/>
                      <a:ext cx="5731510" cy="2139889"/>
                    </a:xfrm>
                    <a:prstGeom prst="rect">
                      <a:avLst/>
                    </a:prstGeom>
                    <a:noFill/>
                    <a:ln w="9525">
                      <a:noFill/>
                      <a:miter lim="800000"/>
                      <a:headEnd/>
                      <a:tailEnd/>
                    </a:ln>
                  </pic:spPr>
                </pic:pic>
              </a:graphicData>
            </a:graphic>
          </wp:inline>
        </w:drawing>
      </w:r>
    </w:p>
    <w:p w:rsidR="001C37C3" w:rsidRDefault="001C37C3" w:rsidP="000B6119">
      <w:pPr>
        <w:jc w:val="both"/>
        <w:rPr>
          <w:rFonts w:ascii="Verdana" w:hAnsi="Verdana"/>
        </w:rPr>
      </w:pPr>
    </w:p>
    <w:p w:rsidR="00F0622D" w:rsidRPr="0006405D" w:rsidRDefault="000B6119" w:rsidP="000B6119">
      <w:pPr>
        <w:jc w:val="both"/>
        <w:rPr>
          <w:rFonts w:ascii="Verdana" w:hAnsi="Verdana"/>
        </w:rPr>
      </w:pPr>
      <w:r w:rsidRPr="00A61430">
        <w:rPr>
          <w:rFonts w:ascii="Verdana" w:hAnsi="Verdana"/>
        </w:rPr>
        <w:t xml:space="preserve">Το Αζερμπαϊτζάν </w:t>
      </w:r>
      <w:r w:rsidR="001C37C3">
        <w:rPr>
          <w:rFonts w:ascii="Verdana" w:hAnsi="Verdana"/>
        </w:rPr>
        <w:t>υπήρξε</w:t>
      </w:r>
      <w:r w:rsidRPr="00A61430">
        <w:rPr>
          <w:rFonts w:ascii="Verdana" w:hAnsi="Verdana"/>
        </w:rPr>
        <w:t xml:space="preserve"> η κοιτίδα της παγκόσμιας πετρελαϊκής βιομηχανίας, με την άντληση αργού να χρονολογείται ήδη από το 1847 (ενώ μέχρι το 1901 και την έναρξη παραγωγής στο Τέξας το τσαρικό Αζερμπαϊτζάν παρήγαγε ετησίως το μισό αργό του πλανήτη). Η π</w:t>
      </w:r>
      <w:r>
        <w:rPr>
          <w:rFonts w:ascii="Verdana" w:hAnsi="Verdana"/>
        </w:rPr>
        <w:t xml:space="preserve">οιότητα του παραγόμενου </w:t>
      </w:r>
      <w:proofErr w:type="spellStart"/>
      <w:r>
        <w:rPr>
          <w:rFonts w:ascii="Verdana" w:hAnsi="Verdana"/>
        </w:rPr>
        <w:t>αζέρικου</w:t>
      </w:r>
      <w:proofErr w:type="spellEnd"/>
      <w:r w:rsidRPr="00A61430">
        <w:rPr>
          <w:rFonts w:ascii="Verdana" w:hAnsi="Verdana"/>
        </w:rPr>
        <w:t xml:space="preserve"> αργού θεωρείται από όλους τους ειδικούς ως εξαιρετική. Πρόκειται για πετρέλαιο ουσιαστικά τύπου </w:t>
      </w:r>
      <w:r w:rsidRPr="00A61430">
        <w:rPr>
          <w:rFonts w:ascii="Verdana" w:hAnsi="Verdana"/>
          <w:lang w:val="en-US"/>
        </w:rPr>
        <w:t>Brent</w:t>
      </w:r>
      <w:r w:rsidRPr="00A61430">
        <w:rPr>
          <w:rFonts w:ascii="Verdana" w:hAnsi="Verdana"/>
        </w:rPr>
        <w:t xml:space="preserve">, με την επωνυμία </w:t>
      </w:r>
      <w:r w:rsidRPr="00A61430">
        <w:rPr>
          <w:rFonts w:ascii="Verdana" w:hAnsi="Verdana"/>
          <w:i/>
          <w:iCs/>
        </w:rPr>
        <w:t>«</w:t>
      </w:r>
      <w:r w:rsidRPr="00A61430">
        <w:rPr>
          <w:rFonts w:ascii="Verdana" w:hAnsi="Verdana"/>
          <w:i/>
          <w:iCs/>
          <w:lang w:val="en-US"/>
        </w:rPr>
        <w:t>Azeri</w:t>
      </w:r>
      <w:r w:rsidRPr="00A61430">
        <w:rPr>
          <w:rFonts w:ascii="Verdana" w:hAnsi="Verdana"/>
          <w:i/>
          <w:iCs/>
        </w:rPr>
        <w:t xml:space="preserve"> </w:t>
      </w:r>
      <w:r w:rsidRPr="00A61430">
        <w:rPr>
          <w:rFonts w:ascii="Verdana" w:hAnsi="Verdana"/>
          <w:i/>
          <w:iCs/>
          <w:lang w:val="en-US"/>
        </w:rPr>
        <w:t>Light</w:t>
      </w:r>
      <w:r w:rsidRPr="00A61430">
        <w:rPr>
          <w:rFonts w:ascii="Verdana" w:hAnsi="Verdana"/>
          <w:i/>
          <w:iCs/>
        </w:rPr>
        <w:t>»</w:t>
      </w:r>
      <w:r w:rsidRPr="00A61430">
        <w:rPr>
          <w:rFonts w:ascii="Verdana" w:hAnsi="Verdana"/>
        </w:rPr>
        <w:t>. Λόγω ωρίμανσης</w:t>
      </w:r>
      <w:r>
        <w:rPr>
          <w:rFonts w:ascii="Verdana" w:hAnsi="Verdana"/>
        </w:rPr>
        <w:t>, ωστόσο,</w:t>
      </w:r>
      <w:r w:rsidRPr="00A61430">
        <w:rPr>
          <w:rFonts w:ascii="Verdana" w:hAnsi="Verdana"/>
        </w:rPr>
        <w:t xml:space="preserve"> όλων των κύριων κοιτασμάτων, χε</w:t>
      </w:r>
      <w:r>
        <w:rPr>
          <w:rFonts w:ascii="Verdana" w:hAnsi="Verdana"/>
        </w:rPr>
        <w:t xml:space="preserve">ρσαίων και </w:t>
      </w:r>
      <w:proofErr w:type="spellStart"/>
      <w:r>
        <w:rPr>
          <w:rFonts w:ascii="Verdana" w:hAnsi="Verdana"/>
        </w:rPr>
        <w:t>υπεράκτιων</w:t>
      </w:r>
      <w:proofErr w:type="spellEnd"/>
      <w:r>
        <w:rPr>
          <w:rFonts w:ascii="Verdana" w:hAnsi="Verdana"/>
        </w:rPr>
        <w:t xml:space="preserve">, η </w:t>
      </w:r>
      <w:proofErr w:type="spellStart"/>
      <w:r>
        <w:rPr>
          <w:rFonts w:ascii="Verdana" w:hAnsi="Verdana"/>
        </w:rPr>
        <w:t>αζέρικη</w:t>
      </w:r>
      <w:proofErr w:type="spellEnd"/>
      <w:r w:rsidRPr="00A61430">
        <w:rPr>
          <w:rFonts w:ascii="Verdana" w:hAnsi="Verdana"/>
        </w:rPr>
        <w:t xml:space="preserve"> παραγωγή αργού βαίνει διαρκώς μειούμενη την τελευταία οκταετία (</w:t>
      </w:r>
      <w:r w:rsidRPr="00A61430">
        <w:rPr>
          <w:rFonts w:ascii="Verdana" w:hAnsi="Verdana"/>
          <w:i/>
        </w:rPr>
        <w:t>υπενθυμίζεται ότι στο ιστορικό υψηλό του 2010 η μέση ημερήσια παραγωγή ήταν 1.025.000 βαρέλια και η συνολική ετήσια παραγωγή ανήλθε σε 50,8 εκατ. τόνους</w:t>
      </w:r>
      <w:r w:rsidRPr="00A61430">
        <w:rPr>
          <w:rFonts w:ascii="Verdana" w:hAnsi="Verdana"/>
        </w:rPr>
        <w:t xml:space="preserve">). Το 2017, η παραγωγή ανήλθε σε 38,7 εκατ. μετρικούς τόνους ή σε 782.000 βαρέλια ημερησίως, μειωμένη σχεδόν 6% σε σχέση με το 2016 και 24% σε σχέση με το 2010. </w:t>
      </w:r>
    </w:p>
    <w:p w:rsidR="00D027AE" w:rsidRPr="0064723D" w:rsidRDefault="00D027AE" w:rsidP="000B6119">
      <w:pPr>
        <w:jc w:val="both"/>
        <w:rPr>
          <w:rFonts w:ascii="Verdana" w:hAnsi="Verdana"/>
        </w:rPr>
      </w:pPr>
      <w:r w:rsidRPr="00D027AE">
        <w:rPr>
          <w:rFonts w:ascii="Verdana" w:eastAsia="Times New Roman" w:hAnsi="Verdana" w:cs="Times New Roman"/>
          <w:b/>
        </w:rPr>
        <w:t>Το  2019 η παραγωγή αργού μειώθηκε κατά 3% και</w:t>
      </w:r>
      <w:r w:rsidRPr="00D027AE">
        <w:rPr>
          <w:rFonts w:ascii="Verdana" w:eastAsia="Times New Roman" w:hAnsi="Verdana" w:cs="Times New Roman"/>
        </w:rPr>
        <w:t xml:space="preserve"> </w:t>
      </w:r>
      <w:r w:rsidRPr="00D027AE">
        <w:rPr>
          <w:rFonts w:ascii="Verdana" w:eastAsia="Times New Roman" w:hAnsi="Verdana" w:cs="Times New Roman"/>
          <w:b/>
        </w:rPr>
        <w:t>ανήλθε σε 37,5 εκατ. μετρικούς τόν</w:t>
      </w:r>
      <w:r w:rsidR="000117D5">
        <w:rPr>
          <w:rFonts w:ascii="Verdana" w:eastAsia="Times New Roman" w:hAnsi="Verdana" w:cs="Times New Roman"/>
          <w:b/>
        </w:rPr>
        <w:t>ους έναντι 38,</w:t>
      </w:r>
      <w:r w:rsidR="000117D5" w:rsidRPr="003A1A4E">
        <w:rPr>
          <w:rFonts w:ascii="Verdana" w:eastAsia="Times New Roman" w:hAnsi="Verdana" w:cs="Times New Roman"/>
          <w:b/>
        </w:rPr>
        <w:t>8</w:t>
      </w:r>
      <w:r w:rsidRPr="00D027AE">
        <w:rPr>
          <w:rFonts w:ascii="Verdana" w:eastAsia="Times New Roman" w:hAnsi="Verdana" w:cs="Times New Roman"/>
          <w:b/>
        </w:rPr>
        <w:t xml:space="preserve"> εκατ. μετρικούς τόνους το  2018. </w:t>
      </w:r>
      <w:r w:rsidRPr="00D027AE">
        <w:rPr>
          <w:rFonts w:ascii="Verdana" w:eastAsia="Times New Roman" w:hAnsi="Verdana" w:cs="Times New Roman"/>
        </w:rPr>
        <w:t xml:space="preserve">Σχεδόν το 80%  αυτής προήλθε από το τριπλό </w:t>
      </w:r>
      <w:proofErr w:type="spellStart"/>
      <w:r w:rsidRPr="00D027AE">
        <w:rPr>
          <w:rFonts w:ascii="Verdana" w:eastAsia="Times New Roman" w:hAnsi="Verdana" w:cs="Times New Roman"/>
        </w:rPr>
        <w:t>υπερ</w:t>
      </w:r>
      <w:proofErr w:type="spellEnd"/>
      <w:r w:rsidRPr="00D027AE">
        <w:rPr>
          <w:rFonts w:ascii="Verdana" w:eastAsia="Times New Roman" w:hAnsi="Verdana" w:cs="Times New Roman"/>
        </w:rPr>
        <w:t xml:space="preserve">-κοίτασμα </w:t>
      </w:r>
      <w:proofErr w:type="spellStart"/>
      <w:r w:rsidRPr="00D027AE">
        <w:rPr>
          <w:rFonts w:ascii="Verdana" w:eastAsia="Times New Roman" w:hAnsi="Verdana" w:cs="Times New Roman"/>
        </w:rPr>
        <w:t>Αζέρι-Σιράγκ-Γκιουνασλί</w:t>
      </w:r>
      <w:proofErr w:type="spellEnd"/>
      <w:r w:rsidRPr="00D027AE">
        <w:rPr>
          <w:rFonts w:ascii="Verdana" w:eastAsia="Times New Roman" w:hAnsi="Verdana" w:cs="Times New Roman"/>
        </w:rPr>
        <w:t xml:space="preserve"> (ACG) εντός της Κασπίας, το οποίο εκμεταλλεύεται η διεθνής κοινοπραξία AIOC στο πλαίσιο της συμφωνίας καταμερισμού παραγωγής του 1994 (γνωστής ως </w:t>
      </w:r>
      <w:r w:rsidRPr="00D027AE">
        <w:rPr>
          <w:rFonts w:ascii="Verdana" w:eastAsia="Times New Roman" w:hAnsi="Verdana" w:cs="Times New Roman"/>
          <w:i/>
        </w:rPr>
        <w:t>“</w:t>
      </w:r>
      <w:proofErr w:type="spellStart"/>
      <w:r w:rsidRPr="00D027AE">
        <w:rPr>
          <w:rFonts w:ascii="Verdana" w:eastAsia="Times New Roman" w:hAnsi="Verdana" w:cs="Times New Roman"/>
          <w:i/>
        </w:rPr>
        <w:t>Contract</w:t>
      </w:r>
      <w:proofErr w:type="spellEnd"/>
      <w:r w:rsidRPr="00D027AE">
        <w:rPr>
          <w:rFonts w:ascii="Verdana" w:eastAsia="Times New Roman" w:hAnsi="Verdana" w:cs="Times New Roman"/>
          <w:i/>
        </w:rPr>
        <w:t xml:space="preserve"> of the </w:t>
      </w:r>
      <w:proofErr w:type="spellStart"/>
      <w:r w:rsidRPr="00D027AE">
        <w:rPr>
          <w:rFonts w:ascii="Verdana" w:eastAsia="Times New Roman" w:hAnsi="Verdana" w:cs="Times New Roman"/>
          <w:i/>
        </w:rPr>
        <w:t>Century</w:t>
      </w:r>
      <w:proofErr w:type="spellEnd"/>
      <w:r w:rsidRPr="00D027AE">
        <w:rPr>
          <w:rFonts w:ascii="Verdana" w:eastAsia="Times New Roman" w:hAnsi="Verdana" w:cs="Times New Roman"/>
          <w:i/>
        </w:rPr>
        <w:t>”</w:t>
      </w:r>
      <w:r w:rsidRPr="00D027AE">
        <w:rPr>
          <w:rFonts w:ascii="Verdana" w:eastAsia="Times New Roman" w:hAnsi="Verdana" w:cs="Times New Roman"/>
        </w:rPr>
        <w:t xml:space="preserve">).Το Αζερμπαϊτζάν </w:t>
      </w:r>
      <w:r w:rsidRPr="00D027AE">
        <w:rPr>
          <w:rFonts w:ascii="Verdana" w:eastAsia="Times New Roman" w:hAnsi="Verdana" w:cs="Times New Roman"/>
          <w:b/>
        </w:rPr>
        <w:t>καταλαμβάνει την 23</w:t>
      </w:r>
      <w:r w:rsidRPr="00D027AE">
        <w:rPr>
          <w:rFonts w:ascii="Verdana" w:eastAsia="Times New Roman" w:hAnsi="Verdana" w:cs="Times New Roman"/>
          <w:b/>
          <w:vertAlign w:val="superscript"/>
        </w:rPr>
        <w:t>η</w:t>
      </w:r>
      <w:r w:rsidRPr="00D027AE">
        <w:rPr>
          <w:rFonts w:ascii="Verdana" w:eastAsia="Times New Roman" w:hAnsi="Verdana" w:cs="Times New Roman"/>
          <w:b/>
        </w:rPr>
        <w:t xml:space="preserve"> θέση</w:t>
      </w:r>
      <w:r w:rsidRPr="00D027AE">
        <w:rPr>
          <w:rFonts w:ascii="Verdana" w:eastAsia="Times New Roman" w:hAnsi="Verdana" w:cs="Times New Roman"/>
        </w:rPr>
        <w:t xml:space="preserve"> μεταξύ των πετρελαιοπαραγωγών χωρών παγκοσμίως.</w:t>
      </w:r>
    </w:p>
    <w:p w:rsidR="000B6119" w:rsidRPr="00A61430" w:rsidRDefault="002D3F33" w:rsidP="000B6119">
      <w:pPr>
        <w:jc w:val="both"/>
        <w:rPr>
          <w:rFonts w:ascii="Verdana" w:hAnsi="Verdana"/>
          <w:b/>
        </w:rPr>
      </w:pPr>
      <w:r w:rsidRPr="000117D5">
        <w:rPr>
          <w:rFonts w:ascii="Verdana" w:hAnsi="Verdana"/>
          <w:b/>
          <w:shd w:val="clear" w:color="auto" w:fill="FDFDFD"/>
        </w:rPr>
        <w:t>Το 2019</w:t>
      </w:r>
      <w:r w:rsidR="000B6119" w:rsidRPr="000117D5">
        <w:rPr>
          <w:rFonts w:ascii="Verdana" w:hAnsi="Verdana"/>
          <w:b/>
          <w:shd w:val="clear" w:color="auto" w:fill="FDFDFD"/>
        </w:rPr>
        <w:t xml:space="preserve">  παρήχθησαν επίσης </w:t>
      </w:r>
      <w:r w:rsidR="000117D5" w:rsidRPr="000117D5">
        <w:rPr>
          <w:rFonts w:ascii="Verdana" w:hAnsi="Verdana"/>
          <w:b/>
        </w:rPr>
        <w:t>24,5</w:t>
      </w:r>
      <w:r w:rsidR="000B6119" w:rsidRPr="000117D5">
        <w:rPr>
          <w:rFonts w:ascii="Verdana" w:hAnsi="Verdana"/>
          <w:b/>
        </w:rPr>
        <w:t xml:space="preserve"> δις </w:t>
      </w:r>
      <w:proofErr w:type="spellStart"/>
      <w:r w:rsidR="000B6119" w:rsidRPr="000117D5">
        <w:rPr>
          <w:rFonts w:ascii="Verdana" w:hAnsi="Verdana"/>
          <w:b/>
        </w:rPr>
        <w:t>κ.μ</w:t>
      </w:r>
      <w:proofErr w:type="spellEnd"/>
      <w:r w:rsidR="000B6119" w:rsidRPr="000117D5">
        <w:rPr>
          <w:rFonts w:ascii="Verdana" w:hAnsi="Verdana"/>
          <w:b/>
        </w:rPr>
        <w:t>. εμπορεύσιμου φυσικού αερίου (+</w:t>
      </w:r>
      <w:r w:rsidR="000117D5" w:rsidRPr="000117D5">
        <w:rPr>
          <w:rFonts w:ascii="Verdana" w:hAnsi="Verdana"/>
          <w:b/>
        </w:rPr>
        <w:t>27,6</w:t>
      </w:r>
      <w:r w:rsidR="000B6119" w:rsidRPr="000117D5">
        <w:rPr>
          <w:rFonts w:ascii="Verdana" w:hAnsi="Verdana"/>
          <w:b/>
        </w:rPr>
        <w:t xml:space="preserve">%),  </w:t>
      </w:r>
      <w:r w:rsidR="000B6119" w:rsidRPr="000117D5">
        <w:rPr>
          <w:rFonts w:ascii="Verdana" w:hAnsi="Verdana"/>
        </w:rPr>
        <w:t>εκ των οποίων το 55% από το κύριο πεδίο SD1/</w:t>
      </w:r>
      <w:proofErr w:type="spellStart"/>
      <w:r w:rsidR="000B6119" w:rsidRPr="000117D5">
        <w:rPr>
          <w:rFonts w:ascii="Verdana" w:hAnsi="Verdana"/>
        </w:rPr>
        <w:t>Σαχ</w:t>
      </w:r>
      <w:proofErr w:type="spellEnd"/>
      <w:r w:rsidR="000B6119" w:rsidRPr="000117D5">
        <w:rPr>
          <w:rFonts w:ascii="Verdana" w:hAnsi="Verdana"/>
        </w:rPr>
        <w:t xml:space="preserve"> </w:t>
      </w:r>
      <w:proofErr w:type="spellStart"/>
      <w:r w:rsidR="000B6119" w:rsidRPr="000117D5">
        <w:rPr>
          <w:rFonts w:ascii="Verdana" w:hAnsi="Verdana"/>
        </w:rPr>
        <w:t>Ντενίζ</w:t>
      </w:r>
      <w:proofErr w:type="spellEnd"/>
      <w:r w:rsidR="000B6119" w:rsidRPr="000117D5">
        <w:rPr>
          <w:rFonts w:ascii="Verdana" w:hAnsi="Verdana"/>
        </w:rPr>
        <w:t xml:space="preserve"> φάση 1.</w:t>
      </w:r>
      <w:r w:rsidR="000B6119" w:rsidRPr="00A61430">
        <w:rPr>
          <w:rFonts w:ascii="Verdana" w:hAnsi="Verdana"/>
        </w:rPr>
        <w:t xml:space="preserve">  </w:t>
      </w:r>
      <w:r w:rsidR="000B6119" w:rsidRPr="00A61430">
        <w:rPr>
          <w:rFonts w:ascii="Verdana" w:hAnsi="Verdana"/>
          <w:b/>
        </w:rPr>
        <w:t>Η χώρα καταλαμβάνει την 33</w:t>
      </w:r>
      <w:r w:rsidR="000B6119" w:rsidRPr="00A61430">
        <w:rPr>
          <w:rFonts w:ascii="Verdana" w:hAnsi="Verdana"/>
          <w:b/>
          <w:vertAlign w:val="superscript"/>
        </w:rPr>
        <w:t>η</w:t>
      </w:r>
      <w:r w:rsidR="000B6119" w:rsidRPr="00A61430">
        <w:rPr>
          <w:rFonts w:ascii="Verdana" w:hAnsi="Verdana"/>
          <w:b/>
        </w:rPr>
        <w:t xml:space="preserve"> θέση στην παραγωγή </w:t>
      </w:r>
      <w:proofErr w:type="spellStart"/>
      <w:r w:rsidR="000B6119" w:rsidRPr="00A61430">
        <w:rPr>
          <w:rFonts w:ascii="Verdana" w:hAnsi="Verdana"/>
          <w:b/>
        </w:rPr>
        <w:t>φ.α.</w:t>
      </w:r>
      <w:proofErr w:type="spellEnd"/>
      <w:r w:rsidR="000B6119" w:rsidRPr="00A61430">
        <w:rPr>
          <w:rFonts w:ascii="Verdana" w:hAnsi="Verdana"/>
          <w:b/>
        </w:rPr>
        <w:t xml:space="preserve"> παγκοσμίως.</w:t>
      </w:r>
      <w:r w:rsidR="000B6119" w:rsidRPr="00A61430">
        <w:rPr>
          <w:rFonts w:ascii="Verdana" w:hAnsi="Verdana"/>
        </w:rPr>
        <w:t xml:space="preserve"> Η Β΄ φάση ανάπτυξης του </w:t>
      </w:r>
      <w:proofErr w:type="spellStart"/>
      <w:r w:rsidR="000B6119" w:rsidRPr="00A61430">
        <w:rPr>
          <w:rFonts w:ascii="Verdana" w:hAnsi="Verdana"/>
        </w:rPr>
        <w:t>Σαχ</w:t>
      </w:r>
      <w:proofErr w:type="spellEnd"/>
      <w:r w:rsidR="000B6119" w:rsidRPr="00A61430">
        <w:rPr>
          <w:rFonts w:ascii="Verdana" w:hAnsi="Verdana"/>
        </w:rPr>
        <w:t xml:space="preserve"> </w:t>
      </w:r>
      <w:proofErr w:type="spellStart"/>
      <w:r w:rsidR="000B6119" w:rsidRPr="00A61430">
        <w:rPr>
          <w:rFonts w:ascii="Verdana" w:hAnsi="Verdana"/>
        </w:rPr>
        <w:t>Ντενίζ</w:t>
      </w:r>
      <w:proofErr w:type="spellEnd"/>
      <w:r w:rsidR="000B6119" w:rsidRPr="00A61430">
        <w:rPr>
          <w:rFonts w:ascii="Verdana" w:hAnsi="Verdana"/>
        </w:rPr>
        <w:t xml:space="preserve"> (SD2), που δρομολογήθηκε ως επενδυτική απόφαση ήδη από το Δεκέμβριο 2013, π</w:t>
      </w:r>
      <w:r w:rsidR="000B6119">
        <w:rPr>
          <w:rFonts w:ascii="Verdana" w:hAnsi="Verdana"/>
        </w:rPr>
        <w:t>ροχώρησε κανονικά εντός του 2018</w:t>
      </w:r>
      <w:r w:rsidR="000B6119" w:rsidRPr="00A61430">
        <w:rPr>
          <w:rFonts w:ascii="Verdana" w:hAnsi="Verdana"/>
        </w:rPr>
        <w:t xml:space="preserve"> και </w:t>
      </w:r>
      <w:r w:rsidR="000B6119" w:rsidRPr="00A61430">
        <w:rPr>
          <w:rFonts w:ascii="Verdana" w:hAnsi="Verdana"/>
        </w:rPr>
        <w:lastRenderedPageBreak/>
        <w:t xml:space="preserve">πλέον έχει ολοκληρωθεί σε ποσοστό σχεδόν 99%. Θα αυξήσει, σε βάθος χρόνου, την ετήσια παραγωγή του SD από τα 10 δις στα 26 δις </w:t>
      </w:r>
      <w:proofErr w:type="spellStart"/>
      <w:r w:rsidR="000B6119" w:rsidRPr="00A61430">
        <w:rPr>
          <w:rFonts w:ascii="Verdana" w:hAnsi="Verdana"/>
        </w:rPr>
        <w:t>κ.μ</w:t>
      </w:r>
      <w:proofErr w:type="spellEnd"/>
      <w:r w:rsidR="000B6119" w:rsidRPr="00A61430">
        <w:rPr>
          <w:rFonts w:ascii="Verdana" w:hAnsi="Verdana"/>
        </w:rPr>
        <w:t xml:space="preserve">. Το πρώτο </w:t>
      </w:r>
      <w:proofErr w:type="spellStart"/>
      <w:r w:rsidR="000B6119" w:rsidRPr="00A61430">
        <w:rPr>
          <w:rFonts w:ascii="Verdana" w:hAnsi="Verdana"/>
        </w:rPr>
        <w:t>φ.α.</w:t>
      </w:r>
      <w:proofErr w:type="spellEnd"/>
      <w:r w:rsidR="000B6119" w:rsidRPr="00A61430">
        <w:rPr>
          <w:rFonts w:ascii="Verdana" w:hAnsi="Verdana"/>
        </w:rPr>
        <w:t xml:space="preserve"> προελεύσεως SD2 άρχισε να παραδίδεται  στην Τουρκία μέσω των αγωγών </w:t>
      </w:r>
      <w:r w:rsidR="000B6119" w:rsidRPr="00A61430">
        <w:rPr>
          <w:rFonts w:ascii="Verdana" w:hAnsi="Verdana"/>
          <w:lang w:val="en-US"/>
        </w:rPr>
        <w:t>SCP</w:t>
      </w:r>
      <w:r w:rsidR="000B6119" w:rsidRPr="00A61430">
        <w:rPr>
          <w:rFonts w:ascii="Verdana" w:hAnsi="Verdana"/>
        </w:rPr>
        <w:t>Χ (Χ=</w:t>
      </w:r>
      <w:r w:rsidR="000B6119" w:rsidRPr="00A61430">
        <w:rPr>
          <w:rFonts w:ascii="Verdana" w:hAnsi="Verdana"/>
          <w:lang w:val="en-US"/>
        </w:rPr>
        <w:t>expansion</w:t>
      </w:r>
      <w:r w:rsidR="000B6119" w:rsidRPr="00A61430">
        <w:rPr>
          <w:rFonts w:ascii="Verdana" w:hAnsi="Verdana"/>
        </w:rPr>
        <w:t xml:space="preserve">) &amp; ΤΑΝΑΡ εντός του 2018 και θα διοχετεύεται προς στην Ευρώπη, μέσω του αγωγού ΤΑΡ, αρχής γενομένης το 2020. </w:t>
      </w:r>
    </w:p>
    <w:p w:rsidR="000B6119" w:rsidRPr="0006405D" w:rsidRDefault="000B6119" w:rsidP="00A61430">
      <w:pPr>
        <w:jc w:val="both"/>
        <w:rPr>
          <w:rFonts w:ascii="Verdana" w:hAnsi="Verdana"/>
        </w:rPr>
      </w:pPr>
    </w:p>
    <w:p w:rsidR="004B6DB2" w:rsidRDefault="004B6DB2" w:rsidP="00A61430">
      <w:pPr>
        <w:pStyle w:val="aa"/>
        <w:numPr>
          <w:ilvl w:val="0"/>
          <w:numId w:val="10"/>
        </w:numPr>
        <w:jc w:val="both"/>
        <w:rPr>
          <w:rFonts w:ascii="Verdana" w:hAnsi="Verdana"/>
          <w:b/>
          <w:bCs/>
          <w:i/>
          <w:color w:val="002060"/>
          <w:sz w:val="22"/>
          <w:szCs w:val="22"/>
        </w:rPr>
      </w:pPr>
      <w:bookmarkStart w:id="12" w:name="_Toc392595514"/>
      <w:r w:rsidRPr="00A61430">
        <w:rPr>
          <w:rFonts w:ascii="Verdana" w:hAnsi="Verdana"/>
          <w:b/>
          <w:bCs/>
          <w:i/>
          <w:color w:val="002060"/>
          <w:sz w:val="22"/>
          <w:szCs w:val="22"/>
        </w:rPr>
        <w:t>Μη πετρελαϊκοί τομείς</w:t>
      </w:r>
      <w:bookmarkEnd w:id="12"/>
    </w:p>
    <w:p w:rsidR="00571DB6" w:rsidRPr="00A61430" w:rsidRDefault="00571DB6" w:rsidP="00571DB6">
      <w:pPr>
        <w:pStyle w:val="aa"/>
        <w:jc w:val="both"/>
        <w:rPr>
          <w:rFonts w:ascii="Verdana" w:hAnsi="Verdana"/>
          <w:b/>
          <w:bCs/>
          <w:i/>
          <w:color w:val="002060"/>
          <w:sz w:val="22"/>
          <w:szCs w:val="22"/>
        </w:rPr>
      </w:pPr>
    </w:p>
    <w:p w:rsidR="006B138F" w:rsidRDefault="006B138F" w:rsidP="006B138F">
      <w:pPr>
        <w:jc w:val="both"/>
        <w:rPr>
          <w:rFonts w:ascii="Verdana" w:hAnsi="Verdana"/>
        </w:rPr>
      </w:pPr>
      <w:r w:rsidRPr="00A61430">
        <w:rPr>
          <w:rFonts w:ascii="Verdana" w:hAnsi="Verdana"/>
          <w:b/>
        </w:rPr>
        <w:t xml:space="preserve">Η μεταποίηση συμμετέχει με μόλις 5% στην διαμόρφωση του ΑΕΠ. </w:t>
      </w:r>
      <w:r w:rsidR="004B6DB2" w:rsidRPr="00A61430">
        <w:rPr>
          <w:rFonts w:ascii="Verdana" w:hAnsi="Verdana"/>
        </w:rPr>
        <w:t xml:space="preserve">Μετά τη διάλυση της Σοβιετικής Ένωσης το 1991 επήλθε </w:t>
      </w:r>
      <w:r>
        <w:rPr>
          <w:rFonts w:ascii="Verdana" w:hAnsi="Verdana"/>
        </w:rPr>
        <w:t xml:space="preserve">σχεδόν </w:t>
      </w:r>
      <w:r w:rsidR="004B6DB2" w:rsidRPr="00A61430">
        <w:rPr>
          <w:rFonts w:ascii="Verdana" w:hAnsi="Verdana"/>
        </w:rPr>
        <w:t>πλήρης αποβιομηχάνιση του Αζερμπαϊτζάν</w:t>
      </w:r>
      <w:r w:rsidR="00434546" w:rsidRPr="00A61430">
        <w:rPr>
          <w:rFonts w:ascii="Verdana" w:hAnsi="Verdana"/>
        </w:rPr>
        <w:t xml:space="preserve">, </w:t>
      </w:r>
      <w:r w:rsidR="00C17298" w:rsidRPr="00A61430">
        <w:rPr>
          <w:rFonts w:ascii="Verdana" w:hAnsi="Verdana"/>
        </w:rPr>
        <w:t>αφού η προσοχή των κυβερνήσεων</w:t>
      </w:r>
      <w:r>
        <w:rPr>
          <w:rFonts w:ascii="Verdana" w:hAnsi="Verdana"/>
        </w:rPr>
        <w:t>, όπως προαναφέρθηκε,</w:t>
      </w:r>
      <w:r w:rsidR="004B6DB2" w:rsidRPr="00A61430">
        <w:rPr>
          <w:rFonts w:ascii="Verdana" w:hAnsi="Verdana"/>
        </w:rPr>
        <w:t xml:space="preserve"> </w:t>
      </w:r>
      <w:r w:rsidR="00C17298" w:rsidRPr="00A61430">
        <w:rPr>
          <w:rFonts w:ascii="Verdana" w:hAnsi="Verdana"/>
        </w:rPr>
        <w:t>επικεντρώθηκε στ</w:t>
      </w:r>
      <w:r w:rsidR="004B6DB2" w:rsidRPr="00A61430">
        <w:rPr>
          <w:rFonts w:ascii="Verdana" w:hAnsi="Verdana"/>
        </w:rPr>
        <w:t>ον εκσυγχρονισμό και ανάπτυξη του τομέα των υδρογονανθράκων</w:t>
      </w:r>
      <w:r>
        <w:rPr>
          <w:rFonts w:ascii="Verdana" w:hAnsi="Verdana"/>
        </w:rPr>
        <w:t xml:space="preserve">, </w:t>
      </w:r>
      <w:r w:rsidR="004B6DB2" w:rsidRPr="00A61430">
        <w:rPr>
          <w:rFonts w:ascii="Verdana" w:hAnsi="Verdana"/>
        </w:rPr>
        <w:t>στον οποίο</w:t>
      </w:r>
      <w:r w:rsidR="00C17298" w:rsidRPr="00A61430">
        <w:rPr>
          <w:rFonts w:ascii="Verdana" w:hAnsi="Verdana"/>
        </w:rPr>
        <w:t>,</w:t>
      </w:r>
      <w:r w:rsidR="004B6DB2" w:rsidRPr="00A61430">
        <w:rPr>
          <w:rFonts w:ascii="Verdana" w:hAnsi="Verdana"/>
        </w:rPr>
        <w:t xml:space="preserve"> έκτοτε, </w:t>
      </w:r>
      <w:r w:rsidR="00C17298" w:rsidRPr="00A61430">
        <w:rPr>
          <w:rFonts w:ascii="Verdana" w:hAnsi="Verdana"/>
        </w:rPr>
        <w:t xml:space="preserve">κατέληξαν </w:t>
      </w:r>
      <w:r w:rsidR="004B6DB2" w:rsidRPr="00A61430">
        <w:rPr>
          <w:rFonts w:ascii="Verdana" w:hAnsi="Verdana"/>
        </w:rPr>
        <w:t xml:space="preserve">όλες σχεδόν οι </w:t>
      </w:r>
      <w:r w:rsidR="00C17298" w:rsidRPr="00A61430">
        <w:rPr>
          <w:rFonts w:ascii="Verdana" w:hAnsi="Verdana"/>
        </w:rPr>
        <w:t xml:space="preserve">προερχόμενες από το εξωτερικό </w:t>
      </w:r>
      <w:r w:rsidR="004B6DB2" w:rsidRPr="00A61430">
        <w:rPr>
          <w:rFonts w:ascii="Verdana" w:hAnsi="Verdana"/>
        </w:rPr>
        <w:t xml:space="preserve">επενδύσεις. </w:t>
      </w:r>
    </w:p>
    <w:p w:rsidR="004B6DB2" w:rsidRPr="00A61430" w:rsidRDefault="004B6DB2" w:rsidP="00A61430">
      <w:pPr>
        <w:jc w:val="both"/>
        <w:rPr>
          <w:rFonts w:ascii="Verdana" w:hAnsi="Verdana"/>
          <w:b/>
        </w:rPr>
      </w:pPr>
      <w:r w:rsidRPr="00A61430">
        <w:rPr>
          <w:rFonts w:ascii="Verdana" w:hAnsi="Verdana"/>
        </w:rPr>
        <w:t xml:space="preserve">Η αποβιομηχάνιση οδήγησε στην αύξηση της ανεργίας στην περιφέρεια, με αποτέλεσμα το Μπακού να αποτελεί τόπο έλξης για τους ανέργους (φαινόμενο αστυφιλίας), μεταφέροντας, έτσι, το πρόβλημα και στην πρωτεύουσα. Τα τελευταία χρόνια καταβάλλεται προσπάθεια, με απόφαση του ίδιου του Προέδρου, για την ανάπτυξη και των μη </w:t>
      </w:r>
      <w:proofErr w:type="spellStart"/>
      <w:r w:rsidRPr="00A61430">
        <w:rPr>
          <w:rFonts w:ascii="Verdana" w:hAnsi="Verdana"/>
        </w:rPr>
        <w:t>πετρελαιοπαραγωγικών</w:t>
      </w:r>
      <w:proofErr w:type="spellEnd"/>
      <w:r w:rsidRPr="00A61430">
        <w:rPr>
          <w:rFonts w:ascii="Verdana" w:hAnsi="Verdana"/>
        </w:rPr>
        <w:t xml:space="preserve"> τομέων (οδικό</w:t>
      </w:r>
      <w:r w:rsidR="00C17298" w:rsidRPr="00A61430">
        <w:rPr>
          <w:rFonts w:ascii="Verdana" w:hAnsi="Verdana"/>
        </w:rPr>
        <w:t>ς</w:t>
      </w:r>
      <w:r w:rsidRPr="00A61430">
        <w:rPr>
          <w:rFonts w:ascii="Verdana" w:hAnsi="Verdana"/>
        </w:rPr>
        <w:t xml:space="preserve"> χάρτη</w:t>
      </w:r>
      <w:r w:rsidR="006B138F">
        <w:rPr>
          <w:rFonts w:ascii="Verdana" w:hAnsi="Verdana"/>
        </w:rPr>
        <w:t>ς</w:t>
      </w:r>
      <w:r w:rsidRPr="00A61430">
        <w:rPr>
          <w:rFonts w:ascii="Verdana" w:hAnsi="Verdana"/>
        </w:rPr>
        <w:t xml:space="preserve"> της Προεδρίας </w:t>
      </w:r>
      <w:r w:rsidRPr="00A61430">
        <w:rPr>
          <w:rFonts w:ascii="Verdana" w:hAnsi="Verdana"/>
          <w:i/>
          <w:iCs/>
        </w:rPr>
        <w:t>«Αζερμπαϊτζάν 2020»</w:t>
      </w:r>
      <w:r w:rsidRPr="00A61430">
        <w:rPr>
          <w:rFonts w:ascii="Verdana" w:hAnsi="Verdana"/>
        </w:rPr>
        <w:t xml:space="preserve">, Ιούνιος 2012), αλλά με πενιχρά αποτελέσματα. Το αρμόδιο Υπουργείο εκπόνησε προς την κατεύθυνση αυτή πενταετές πρόγραμμα, το οποίο </w:t>
      </w:r>
      <w:r w:rsidR="006B138F">
        <w:rPr>
          <w:rFonts w:ascii="Verdana" w:hAnsi="Verdana"/>
        </w:rPr>
        <w:t>είχε σαν στόχο</w:t>
      </w:r>
      <w:r w:rsidRPr="00A61430">
        <w:rPr>
          <w:rFonts w:ascii="Verdana" w:hAnsi="Verdana"/>
        </w:rPr>
        <w:t xml:space="preserve"> να οδηγήσει στην επαναλειτουργία και εγκατάσταση νέων βιομηχανικών μονάδων, με σκοπό την παραμονή του πληθυσμού στην περιφέρεια και τη μείωση των ανισοτήτων. Η κυβέρνηση του Αζερμπαϊτζάν μέσω του φορέα </w:t>
      </w:r>
      <w:r w:rsidRPr="00A61430">
        <w:rPr>
          <w:rFonts w:ascii="Verdana" w:hAnsi="Verdana"/>
          <w:i/>
          <w:iCs/>
          <w:lang w:val="en-US"/>
        </w:rPr>
        <w:t>AZPROMO</w:t>
      </w:r>
      <w:r w:rsidRPr="00A61430">
        <w:rPr>
          <w:rFonts w:ascii="Verdana" w:hAnsi="Verdana"/>
        </w:rPr>
        <w:t xml:space="preserve">  καλεί ξένους επενδυτές με </w:t>
      </w:r>
      <w:r w:rsidRPr="00A61430">
        <w:rPr>
          <w:rFonts w:ascii="Verdana" w:hAnsi="Verdana"/>
          <w:lang w:val="en-US"/>
        </w:rPr>
        <w:t>know</w:t>
      </w:r>
      <w:r w:rsidRPr="00A61430">
        <w:rPr>
          <w:rFonts w:ascii="Verdana" w:hAnsi="Verdana"/>
        </w:rPr>
        <w:t>-</w:t>
      </w:r>
      <w:r w:rsidRPr="00A61430">
        <w:rPr>
          <w:rFonts w:ascii="Verdana" w:hAnsi="Verdana"/>
          <w:lang w:val="en-US"/>
        </w:rPr>
        <w:t>how</w:t>
      </w:r>
      <w:r w:rsidRPr="00A61430">
        <w:rPr>
          <w:rFonts w:ascii="Verdana" w:hAnsi="Verdana"/>
        </w:rPr>
        <w:t xml:space="preserve"> και κεφάλαια, ιδίως σε τεχνολογικά πάρκα όπως το </w:t>
      </w:r>
      <w:proofErr w:type="spellStart"/>
      <w:r w:rsidRPr="00A61430">
        <w:rPr>
          <w:rFonts w:ascii="Verdana" w:hAnsi="Verdana"/>
        </w:rPr>
        <w:t>Σουμγκαϊτ</w:t>
      </w:r>
      <w:proofErr w:type="spellEnd"/>
      <w:r w:rsidRPr="00A61430">
        <w:rPr>
          <w:rFonts w:ascii="Verdana" w:hAnsi="Verdana"/>
        </w:rPr>
        <w:t>. Η έως τώρα εμπειρία, πάντως, έχει δείξει</w:t>
      </w:r>
      <w:r w:rsidR="00926BFE" w:rsidRPr="00A61430">
        <w:rPr>
          <w:rFonts w:ascii="Verdana" w:hAnsi="Verdana"/>
        </w:rPr>
        <w:t>,</w:t>
      </w:r>
      <w:r w:rsidRPr="00A61430">
        <w:rPr>
          <w:rFonts w:ascii="Verdana" w:hAnsi="Verdana"/>
        </w:rPr>
        <w:t xml:space="preserve"> ότι η εγκατάσταση μιας επιχείρησης σε ένα </w:t>
      </w:r>
      <w:r w:rsidR="006B138F">
        <w:rPr>
          <w:rFonts w:ascii="Verdana" w:hAnsi="Verdana"/>
        </w:rPr>
        <w:t xml:space="preserve">τέτοιο </w:t>
      </w:r>
      <w:r w:rsidRPr="00A61430">
        <w:rPr>
          <w:rFonts w:ascii="Verdana" w:hAnsi="Verdana"/>
        </w:rPr>
        <w:t>τεχνολογικό πάρκο δεν είναι εύκολη υπόθεση.</w:t>
      </w:r>
      <w:r w:rsidR="005532E0" w:rsidRPr="00A61430">
        <w:rPr>
          <w:rFonts w:ascii="Verdana" w:hAnsi="Verdana"/>
        </w:rPr>
        <w:t xml:space="preserve"> </w:t>
      </w:r>
    </w:p>
    <w:p w:rsidR="009018E1" w:rsidRDefault="009018E1" w:rsidP="00A61430">
      <w:pPr>
        <w:jc w:val="both"/>
        <w:rPr>
          <w:rFonts w:ascii="Verdana" w:hAnsi="Verdana"/>
          <w:b/>
          <w:color w:val="002060"/>
        </w:rPr>
      </w:pPr>
    </w:p>
    <w:p w:rsidR="00531563" w:rsidRPr="00A61430" w:rsidRDefault="00D711AC" w:rsidP="00A61430">
      <w:pPr>
        <w:jc w:val="both"/>
        <w:rPr>
          <w:rFonts w:ascii="Verdana" w:hAnsi="Verdana"/>
          <w:b/>
          <w:color w:val="002060"/>
        </w:rPr>
      </w:pPr>
      <w:r w:rsidRPr="00A61430">
        <w:rPr>
          <w:rFonts w:ascii="Verdana" w:hAnsi="Verdana"/>
          <w:b/>
          <w:color w:val="002060"/>
        </w:rPr>
        <w:t xml:space="preserve">3.2 </w:t>
      </w:r>
      <w:r w:rsidR="005532E0" w:rsidRPr="00A61430">
        <w:rPr>
          <w:rFonts w:ascii="Verdana" w:hAnsi="Verdana"/>
          <w:b/>
          <w:color w:val="002060"/>
        </w:rPr>
        <w:t xml:space="preserve"> </w:t>
      </w:r>
      <w:r w:rsidR="00531563" w:rsidRPr="00A61430">
        <w:rPr>
          <w:rFonts w:ascii="Verdana" w:hAnsi="Verdana"/>
          <w:b/>
          <w:color w:val="002060"/>
        </w:rPr>
        <w:t>ΓΕΩΡΓΙΚΟΣ ΤΟΜΕΑΣ</w:t>
      </w:r>
    </w:p>
    <w:p w:rsidR="00531563" w:rsidRPr="00A61430" w:rsidRDefault="00531563" w:rsidP="00A61430">
      <w:pPr>
        <w:jc w:val="both"/>
        <w:rPr>
          <w:rFonts w:ascii="Verdana" w:hAnsi="Verdana"/>
          <w:b/>
        </w:rPr>
      </w:pPr>
      <w:r w:rsidRPr="00A61430">
        <w:rPr>
          <w:rFonts w:ascii="Verdana" w:hAnsi="Verdana"/>
          <w:b/>
        </w:rPr>
        <w:t>Η συμμετοχή του τομέα στην διαμόρφ</w:t>
      </w:r>
      <w:r w:rsidR="005532E0" w:rsidRPr="00A61430">
        <w:rPr>
          <w:rFonts w:ascii="Verdana" w:hAnsi="Verdana"/>
          <w:b/>
        </w:rPr>
        <w:t xml:space="preserve">ωση του ΑΕΠ ανέρχεται σε </w:t>
      </w:r>
      <w:r w:rsidR="00CE75AC" w:rsidRPr="00CE75AC">
        <w:rPr>
          <w:rFonts w:ascii="Verdana" w:hAnsi="Verdana"/>
          <w:b/>
        </w:rPr>
        <w:t>5,7</w:t>
      </w:r>
      <w:r w:rsidR="005532E0" w:rsidRPr="00A61430">
        <w:rPr>
          <w:rFonts w:ascii="Verdana" w:hAnsi="Verdana"/>
          <w:b/>
        </w:rPr>
        <w:t>% ενώ απασχολεί το 37% του εργατικού δυναμικού.</w:t>
      </w:r>
    </w:p>
    <w:p w:rsidR="00E33100" w:rsidRPr="00A61430" w:rsidRDefault="00531563" w:rsidP="00A61430">
      <w:pPr>
        <w:jc w:val="both"/>
        <w:rPr>
          <w:rFonts w:ascii="Verdana" w:hAnsi="Verdana"/>
        </w:rPr>
      </w:pPr>
      <w:r w:rsidRPr="00A61430">
        <w:rPr>
          <w:rFonts w:ascii="Verdana" w:hAnsi="Verdana"/>
        </w:rPr>
        <w:t xml:space="preserve">Οι </w:t>
      </w:r>
      <w:r w:rsidR="007D575B" w:rsidRPr="00A61430">
        <w:rPr>
          <w:rFonts w:ascii="Verdana" w:hAnsi="Verdana"/>
        </w:rPr>
        <w:t xml:space="preserve">ευνοϊκές </w:t>
      </w:r>
      <w:r w:rsidRPr="00A61430">
        <w:rPr>
          <w:rFonts w:ascii="Verdana" w:hAnsi="Verdana"/>
        </w:rPr>
        <w:t>κλιματολογικές συνθήκες επιτρέπουν την καλλιέργεια σιτη</w:t>
      </w:r>
      <w:r w:rsidR="007D575B" w:rsidRPr="00A61430">
        <w:rPr>
          <w:rFonts w:ascii="Verdana" w:hAnsi="Verdana"/>
        </w:rPr>
        <w:t xml:space="preserve">ρών, καλαμποκιού, </w:t>
      </w:r>
      <w:r w:rsidR="009D41C4" w:rsidRPr="00A61430">
        <w:rPr>
          <w:rFonts w:ascii="Verdana" w:hAnsi="Verdana"/>
        </w:rPr>
        <w:t xml:space="preserve">αμπέλων, </w:t>
      </w:r>
      <w:r w:rsidR="007D575B" w:rsidRPr="00A61430">
        <w:rPr>
          <w:rFonts w:ascii="Verdana" w:hAnsi="Verdana"/>
        </w:rPr>
        <w:t>πατάτας</w:t>
      </w:r>
      <w:r w:rsidR="005532E0" w:rsidRPr="00A61430">
        <w:rPr>
          <w:rFonts w:ascii="Verdana" w:hAnsi="Verdana"/>
        </w:rPr>
        <w:t xml:space="preserve">, </w:t>
      </w:r>
      <w:r w:rsidRPr="00A61430">
        <w:rPr>
          <w:rFonts w:ascii="Verdana" w:hAnsi="Verdana"/>
        </w:rPr>
        <w:t>ποικίλων φρούτων, εσπεριδοειδών, καρπουζιών, οπωροκηπευτικών, τσαγιού</w:t>
      </w:r>
      <w:r w:rsidR="007D575B" w:rsidRPr="00A61430">
        <w:rPr>
          <w:rFonts w:ascii="Verdana" w:hAnsi="Verdana"/>
        </w:rPr>
        <w:t xml:space="preserve">, καπνού, βάμβακος </w:t>
      </w:r>
      <w:r w:rsidRPr="00A61430">
        <w:rPr>
          <w:rFonts w:ascii="Verdana" w:hAnsi="Verdana"/>
        </w:rPr>
        <w:t>κλπ.</w:t>
      </w:r>
      <w:r w:rsidR="00571DB6">
        <w:rPr>
          <w:rFonts w:ascii="Verdana" w:hAnsi="Verdana"/>
        </w:rPr>
        <w:t>, καθώς και εκτεταμένη κτηνοτροφία</w:t>
      </w:r>
      <w:r w:rsidR="00B629A0">
        <w:rPr>
          <w:rFonts w:ascii="Verdana" w:hAnsi="Verdana"/>
        </w:rPr>
        <w:t xml:space="preserve"> και μελισσουργία</w:t>
      </w:r>
      <w:r w:rsidR="00571DB6">
        <w:rPr>
          <w:rFonts w:ascii="Verdana" w:hAnsi="Verdana"/>
        </w:rPr>
        <w:t xml:space="preserve">. </w:t>
      </w:r>
      <w:r w:rsidRPr="00A61430">
        <w:rPr>
          <w:rFonts w:ascii="Verdana" w:hAnsi="Verdana"/>
        </w:rPr>
        <w:t xml:space="preserve">Η εγχώρια </w:t>
      </w:r>
      <w:r w:rsidR="00B50A5E">
        <w:rPr>
          <w:rFonts w:ascii="Verdana" w:hAnsi="Verdana"/>
        </w:rPr>
        <w:t>γεωργική</w:t>
      </w:r>
      <w:r w:rsidRPr="00A61430">
        <w:rPr>
          <w:rFonts w:ascii="Verdana" w:hAnsi="Verdana"/>
        </w:rPr>
        <w:t xml:space="preserve"> </w:t>
      </w:r>
      <w:r w:rsidR="007D575B" w:rsidRPr="00A61430">
        <w:rPr>
          <w:rFonts w:ascii="Verdana" w:hAnsi="Verdana"/>
        </w:rPr>
        <w:t>παραγωγή δεν καλύπτει, ωστόσο,</w:t>
      </w:r>
      <w:r w:rsidR="00571DB6">
        <w:rPr>
          <w:rFonts w:ascii="Verdana" w:hAnsi="Verdana"/>
        </w:rPr>
        <w:t xml:space="preserve"> </w:t>
      </w:r>
      <w:r w:rsidRPr="00A61430">
        <w:rPr>
          <w:rFonts w:ascii="Verdana" w:hAnsi="Verdana"/>
        </w:rPr>
        <w:t xml:space="preserve">τις ανάγκες του πληθυσμού και συνεπώς, πραγματοποιούνται εισαγωγές, κυρίως σιτηρών, ρυζιού και ζάχαρης. </w:t>
      </w:r>
      <w:r w:rsidR="007D575B" w:rsidRPr="00A61430">
        <w:rPr>
          <w:rFonts w:ascii="Verdana" w:hAnsi="Verdana"/>
        </w:rPr>
        <w:t xml:space="preserve">Στο Αζερμπαϊτζάν υπήρχαν ήδη από την εποχή της πρώην Σοβιετικής Ένωσης (ΕΣΣΔ) </w:t>
      </w:r>
      <w:r w:rsidRPr="00A61430">
        <w:rPr>
          <w:rFonts w:ascii="Verdana" w:hAnsi="Verdana"/>
        </w:rPr>
        <w:t xml:space="preserve">ελαιοκαλλιέργειες, οι οποίες φυτεύτηκαν στις αρχές της δεκαετίας </w:t>
      </w:r>
      <w:r w:rsidR="007D575B" w:rsidRPr="00A61430">
        <w:rPr>
          <w:rFonts w:ascii="Verdana" w:hAnsi="Verdana"/>
        </w:rPr>
        <w:t>το 50. Σήμερα υπάρχουν 2.800</w:t>
      </w:r>
      <w:r w:rsidRPr="00A61430">
        <w:rPr>
          <w:rFonts w:ascii="Verdana" w:hAnsi="Verdana"/>
        </w:rPr>
        <w:t xml:space="preserve"> εκτάρια </w:t>
      </w:r>
      <w:r w:rsidR="007D575B" w:rsidRPr="00A61430">
        <w:rPr>
          <w:rFonts w:ascii="Verdana" w:hAnsi="Verdana"/>
        </w:rPr>
        <w:t>με ελαιόδεντρα,</w:t>
      </w:r>
      <w:r w:rsidRPr="00A61430">
        <w:rPr>
          <w:rFonts w:ascii="Verdana" w:hAnsi="Verdana"/>
        </w:rPr>
        <w:t xml:space="preserve"> συγκεντρωμένα κυρίως σ</w:t>
      </w:r>
      <w:r w:rsidR="007D575B" w:rsidRPr="00A61430">
        <w:rPr>
          <w:rFonts w:ascii="Verdana" w:hAnsi="Verdana"/>
        </w:rPr>
        <w:t xml:space="preserve">την ευρύτερη περιοχή του Μπακού, και  </w:t>
      </w:r>
      <w:r w:rsidRPr="00A61430">
        <w:rPr>
          <w:rFonts w:ascii="Verdana" w:hAnsi="Verdana"/>
        </w:rPr>
        <w:lastRenderedPageBreak/>
        <w:t>καταβάλλονται προσπάθειες για τον εκσυγχρονισμό των ελαιοκαλλιεργειών και τη διάδοση στην εγχώρια αγορά των προϊόντων ελιάς και του ελαιολάδου, τα οποία συμπεριλαμβάνονται ελάχιστα στις δι</w:t>
      </w:r>
      <w:r w:rsidR="00B50A5E">
        <w:rPr>
          <w:rFonts w:ascii="Verdana" w:hAnsi="Verdana"/>
        </w:rPr>
        <w:t xml:space="preserve">ατροφικές συνήθεις του </w:t>
      </w:r>
      <w:proofErr w:type="spellStart"/>
      <w:r w:rsidR="00B50A5E">
        <w:rPr>
          <w:rFonts w:ascii="Verdana" w:hAnsi="Verdana"/>
        </w:rPr>
        <w:t>αζέρικου</w:t>
      </w:r>
      <w:proofErr w:type="spellEnd"/>
      <w:r w:rsidR="00B50A5E">
        <w:rPr>
          <w:rFonts w:ascii="Verdana" w:hAnsi="Verdana"/>
        </w:rPr>
        <w:t xml:space="preserve"> </w:t>
      </w:r>
      <w:r w:rsidRPr="00A61430">
        <w:rPr>
          <w:rFonts w:ascii="Verdana" w:hAnsi="Verdana"/>
        </w:rPr>
        <w:t>πληθυσμού.</w:t>
      </w:r>
      <w:r w:rsidR="00E33100" w:rsidRPr="00A61430">
        <w:rPr>
          <w:rFonts w:ascii="Verdana" w:hAnsi="Verdana"/>
        </w:rPr>
        <w:t xml:space="preserve"> </w:t>
      </w:r>
    </w:p>
    <w:p w:rsidR="004E2B80" w:rsidRDefault="00531563" w:rsidP="00A61430">
      <w:pPr>
        <w:jc w:val="both"/>
        <w:rPr>
          <w:rFonts w:ascii="Verdana" w:hAnsi="Verdana"/>
        </w:rPr>
      </w:pPr>
      <w:r w:rsidRPr="00A61430">
        <w:rPr>
          <w:rFonts w:ascii="Verdana" w:hAnsi="Verdana"/>
        </w:rPr>
        <w:t>Η βιομηχανία μεταποίησης αγροτικών προϊόντων, είναι εν πολλοίς απαρχαιωμένη</w:t>
      </w:r>
      <w:r w:rsidR="00E33100" w:rsidRPr="00A61430">
        <w:rPr>
          <w:rFonts w:ascii="Verdana" w:hAnsi="Verdana"/>
        </w:rPr>
        <w:t xml:space="preserve"> και </w:t>
      </w:r>
      <w:r w:rsidRPr="00A61430">
        <w:rPr>
          <w:rFonts w:ascii="Verdana" w:hAnsi="Verdana"/>
        </w:rPr>
        <w:t xml:space="preserve">δεν ανταποκρίνεται στις </w:t>
      </w:r>
      <w:r w:rsidR="00E33100" w:rsidRPr="00A61430">
        <w:rPr>
          <w:rFonts w:ascii="Verdana" w:hAnsi="Verdana"/>
        </w:rPr>
        <w:t xml:space="preserve">σύγχρονες </w:t>
      </w:r>
      <w:r w:rsidRPr="00A61430">
        <w:rPr>
          <w:rFonts w:ascii="Verdana" w:hAnsi="Verdana"/>
        </w:rPr>
        <w:t xml:space="preserve">απαιτήσεις (με εξαίρεση τους δύο μεγάλους ομίλους </w:t>
      </w:r>
      <w:r w:rsidRPr="00A61430">
        <w:rPr>
          <w:rFonts w:ascii="Verdana" w:hAnsi="Verdana"/>
          <w:i/>
          <w:iCs/>
          <w:lang w:val="en-US"/>
        </w:rPr>
        <w:t>GILAN</w:t>
      </w:r>
      <w:r w:rsidRPr="00A61430">
        <w:rPr>
          <w:rFonts w:ascii="Verdana" w:hAnsi="Verdana"/>
          <w:i/>
          <w:iCs/>
        </w:rPr>
        <w:t xml:space="preserve"> </w:t>
      </w:r>
      <w:r w:rsidRPr="00A61430">
        <w:rPr>
          <w:rFonts w:ascii="Verdana" w:hAnsi="Verdana"/>
          <w:i/>
          <w:iCs/>
          <w:lang w:val="en-US"/>
        </w:rPr>
        <w:t>HOLDING</w:t>
      </w:r>
      <w:r w:rsidRPr="00A61430">
        <w:rPr>
          <w:rFonts w:ascii="Verdana" w:hAnsi="Verdana"/>
        </w:rPr>
        <w:t xml:space="preserve"> και </w:t>
      </w:r>
      <w:r w:rsidRPr="00A61430">
        <w:rPr>
          <w:rFonts w:ascii="Verdana" w:hAnsi="Verdana"/>
          <w:i/>
          <w:iCs/>
          <w:lang w:val="en-US"/>
        </w:rPr>
        <w:t>AZERSUN</w:t>
      </w:r>
      <w:r w:rsidRPr="00A61430">
        <w:rPr>
          <w:rFonts w:ascii="Verdana" w:hAnsi="Verdana"/>
          <w:i/>
          <w:iCs/>
        </w:rPr>
        <w:t xml:space="preserve"> </w:t>
      </w:r>
      <w:r w:rsidRPr="00A61430">
        <w:rPr>
          <w:rFonts w:ascii="Verdana" w:hAnsi="Verdana"/>
          <w:i/>
          <w:iCs/>
          <w:lang w:val="en-US"/>
        </w:rPr>
        <w:t>HOLDING</w:t>
      </w:r>
      <w:r w:rsidRPr="00A61430">
        <w:rPr>
          <w:rFonts w:ascii="Verdana" w:hAnsi="Verdana"/>
        </w:rPr>
        <w:t>). Απαιτούνται τεράστιες κεφαλαιουχικές επενδύσεις στις νέες τεχνολογίες</w:t>
      </w:r>
      <w:r w:rsidR="007D575B" w:rsidRPr="00A61430">
        <w:rPr>
          <w:rFonts w:ascii="Verdana" w:hAnsi="Verdana"/>
        </w:rPr>
        <w:t>,</w:t>
      </w:r>
      <w:r w:rsidRPr="00A61430">
        <w:rPr>
          <w:rFonts w:ascii="Verdana" w:hAnsi="Verdana"/>
        </w:rPr>
        <w:t xml:space="preserve"> που θα εξασφαλίσουν την επεξεργασία και διατήρηση αγροτικών προϊόντων φυτικής και ζωικής προέλευσης υψηλών ποιοτικών προδιαγραφών, έτσι ώστε να εξασφαλισθεί και η δυνατότητα πρόσβασης των προϊόντων αυτών στις </w:t>
      </w:r>
      <w:r w:rsidR="00571DB6">
        <w:rPr>
          <w:rFonts w:ascii="Verdana" w:hAnsi="Verdana"/>
        </w:rPr>
        <w:t>ξένες</w:t>
      </w:r>
      <w:r w:rsidRPr="00A61430">
        <w:rPr>
          <w:rFonts w:ascii="Verdana" w:hAnsi="Verdana"/>
        </w:rPr>
        <w:t xml:space="preserve"> αγορές. Με Προεδρικά Διατάγματα αποφασίσθηκε σε ανώτατο επίπεδο η ανάπτυξη του αγροτικού τομέα της χώρας, ο οποίος τα τελευταία χρόνια υπέστη περαιτέρω υποβάθμιση. Στο πλαίσιο της πολιτικής αυτής αναπτύσσεται τελευταία η καλλιέργεια φρούτων-λαχανικών σε θερμοκήπια, με σκοπό την εξασφάλιση συγκομιδής καθ’ ό</w:t>
      </w:r>
      <w:r w:rsidR="00571DB6">
        <w:rPr>
          <w:rFonts w:ascii="Verdana" w:hAnsi="Verdana"/>
        </w:rPr>
        <w:t>λη τη διάρκεια του έτους και ανάπτυξη εξαγωγών</w:t>
      </w:r>
      <w:r w:rsidR="00B629A0">
        <w:rPr>
          <w:rFonts w:ascii="Verdana" w:hAnsi="Verdana"/>
        </w:rPr>
        <w:t xml:space="preserve"> της παραγωγής, κυρίως </w:t>
      </w:r>
      <w:r w:rsidRPr="00A61430">
        <w:rPr>
          <w:rFonts w:ascii="Verdana" w:hAnsi="Verdana"/>
        </w:rPr>
        <w:t>στη Ρωσία. Ωστόσο, τα αποτελέσματα αυτής της πολιτικής δεν είναι ακόμη ορατά και θεωρείται</w:t>
      </w:r>
      <w:r w:rsidR="00B629A0">
        <w:rPr>
          <w:rFonts w:ascii="Verdana" w:hAnsi="Verdana"/>
        </w:rPr>
        <w:t>,</w:t>
      </w:r>
      <w:r w:rsidRPr="00A61430">
        <w:rPr>
          <w:rFonts w:ascii="Verdana" w:hAnsi="Verdana"/>
        </w:rPr>
        <w:t xml:space="preserve"> πώς δεν έχει ακόμη </w:t>
      </w:r>
      <w:r w:rsidR="00B50A5E">
        <w:rPr>
          <w:rFonts w:ascii="Verdana" w:hAnsi="Verdana"/>
        </w:rPr>
        <w:t>υπάρξει</w:t>
      </w:r>
      <w:r w:rsidRPr="00A61430">
        <w:rPr>
          <w:rFonts w:ascii="Verdana" w:hAnsi="Verdana"/>
        </w:rPr>
        <w:t xml:space="preserve"> ισχυρή πολιτική βούληση και αντίστοιχη «πίεση» στον εν λόγω τομέα.</w:t>
      </w:r>
      <w:r w:rsidR="00036C3C">
        <w:rPr>
          <w:rFonts w:ascii="Verdana" w:hAnsi="Verdana"/>
        </w:rPr>
        <w:t xml:space="preserve"> </w:t>
      </w:r>
    </w:p>
    <w:p w:rsidR="00531563" w:rsidRPr="00A61430" w:rsidRDefault="00531563" w:rsidP="00A61430">
      <w:pPr>
        <w:jc w:val="both"/>
        <w:rPr>
          <w:rFonts w:ascii="Verdana" w:hAnsi="Verdana"/>
        </w:rPr>
      </w:pPr>
      <w:r w:rsidRPr="00A61430">
        <w:rPr>
          <w:rFonts w:ascii="Verdana" w:hAnsi="Verdana"/>
        </w:rPr>
        <w:t xml:space="preserve">Τα τελευταία χρόνια, επίσης, επενδύθηκαν σημαντικά κεφάλαια στην κατασκευή συγχρόνων μονάδων επεξεργασίας ψαριών, εισαγόμενων και ντόπιων, καθώς και παραγωγής χαβιαριού (μέσω του ιδιωτικού μονοπωλίου </w:t>
      </w:r>
      <w:r w:rsidRPr="00A61430">
        <w:rPr>
          <w:rFonts w:ascii="Verdana" w:hAnsi="Verdana"/>
          <w:lang w:val="en-US"/>
        </w:rPr>
        <w:t>Caspian</w:t>
      </w:r>
      <w:r w:rsidRPr="00A61430">
        <w:rPr>
          <w:rFonts w:ascii="Verdana" w:hAnsi="Verdana"/>
        </w:rPr>
        <w:t xml:space="preserve"> </w:t>
      </w:r>
      <w:r w:rsidRPr="00A61430">
        <w:rPr>
          <w:rFonts w:ascii="Verdana" w:hAnsi="Verdana"/>
          <w:lang w:val="en-US"/>
        </w:rPr>
        <w:t>Fish</w:t>
      </w:r>
      <w:r w:rsidRPr="00A61430">
        <w:rPr>
          <w:rFonts w:ascii="Verdana" w:hAnsi="Verdana"/>
        </w:rPr>
        <w:t xml:space="preserve"> </w:t>
      </w:r>
      <w:r w:rsidRPr="00A61430">
        <w:rPr>
          <w:rFonts w:ascii="Verdana" w:hAnsi="Verdana"/>
          <w:lang w:val="en-US"/>
        </w:rPr>
        <w:t>Company</w:t>
      </w:r>
      <w:r w:rsidRPr="00A61430">
        <w:rPr>
          <w:rFonts w:ascii="Verdana" w:hAnsi="Verdana"/>
        </w:rPr>
        <w:t>). Λόγω μικρής διαθέσιμης ποσότητας</w:t>
      </w:r>
      <w:r w:rsidR="00B50A5E">
        <w:rPr>
          <w:rFonts w:ascii="Verdana" w:hAnsi="Verdana"/>
        </w:rPr>
        <w:t xml:space="preserve"> αλιευμάτων</w:t>
      </w:r>
      <w:r w:rsidRPr="00A61430">
        <w:rPr>
          <w:rFonts w:ascii="Verdana" w:hAnsi="Verdana"/>
        </w:rPr>
        <w:t>, υπολογίζεται</w:t>
      </w:r>
      <w:r w:rsidR="00B50A5E">
        <w:rPr>
          <w:rFonts w:ascii="Verdana" w:hAnsi="Verdana"/>
        </w:rPr>
        <w:t>,</w:t>
      </w:r>
      <w:r w:rsidRPr="00A61430">
        <w:rPr>
          <w:rFonts w:ascii="Verdana" w:hAnsi="Verdana"/>
        </w:rPr>
        <w:t xml:space="preserve"> ότι τα προσεχή χρόνια το χαβιάρι θα παράγεται βασικά από ψάρια ιχθυοτροφείου. </w:t>
      </w:r>
    </w:p>
    <w:p w:rsidR="003558CC" w:rsidRDefault="003558CC" w:rsidP="00A61430">
      <w:pPr>
        <w:jc w:val="both"/>
        <w:rPr>
          <w:rFonts w:ascii="Verdana" w:hAnsi="Verdana"/>
          <w:b/>
          <w:color w:val="002060"/>
          <w:sz w:val="24"/>
          <w:szCs w:val="24"/>
        </w:rPr>
      </w:pPr>
    </w:p>
    <w:p w:rsidR="005532E0" w:rsidRPr="00B629A0" w:rsidRDefault="00D711AC" w:rsidP="00A61430">
      <w:pPr>
        <w:jc w:val="both"/>
        <w:rPr>
          <w:rFonts w:ascii="Verdana" w:hAnsi="Verdana"/>
          <w:b/>
          <w:color w:val="002060"/>
          <w:sz w:val="24"/>
          <w:szCs w:val="24"/>
        </w:rPr>
      </w:pPr>
      <w:r w:rsidRPr="00B629A0">
        <w:rPr>
          <w:rFonts w:ascii="Verdana" w:hAnsi="Verdana"/>
          <w:b/>
          <w:color w:val="002060"/>
          <w:sz w:val="24"/>
          <w:szCs w:val="24"/>
        </w:rPr>
        <w:t>3.3</w:t>
      </w:r>
      <w:r w:rsidR="00DA226A" w:rsidRPr="00B629A0">
        <w:rPr>
          <w:rFonts w:ascii="Verdana" w:hAnsi="Verdana"/>
          <w:b/>
          <w:color w:val="002060"/>
          <w:sz w:val="24"/>
          <w:szCs w:val="24"/>
        </w:rPr>
        <w:t xml:space="preserve"> ΥΠΗΡΕΣΙΕΣ</w:t>
      </w:r>
    </w:p>
    <w:p w:rsidR="003165BC" w:rsidRPr="00DA19A2" w:rsidRDefault="00DA226A" w:rsidP="00A61430">
      <w:pPr>
        <w:jc w:val="both"/>
        <w:rPr>
          <w:rFonts w:ascii="Verdana" w:hAnsi="Verdana"/>
          <w:b/>
        </w:rPr>
      </w:pPr>
      <w:r w:rsidRPr="00DA19A2">
        <w:rPr>
          <w:rFonts w:ascii="Verdana" w:hAnsi="Verdana"/>
          <w:b/>
        </w:rPr>
        <w:t>Ο τομέας αναπτύσσεται ταχέως τα τελευταία χρόνι</w:t>
      </w:r>
      <w:r w:rsidR="00CE75AC">
        <w:rPr>
          <w:rFonts w:ascii="Verdana" w:hAnsi="Verdana"/>
          <w:b/>
        </w:rPr>
        <w:t>α και συμμετέχει κατά 5</w:t>
      </w:r>
      <w:r w:rsidR="00CE75AC" w:rsidRPr="00CE75AC">
        <w:rPr>
          <w:rFonts w:ascii="Verdana" w:hAnsi="Verdana"/>
          <w:b/>
        </w:rPr>
        <w:t>2</w:t>
      </w:r>
      <w:r w:rsidR="00CE75AC">
        <w:rPr>
          <w:rFonts w:ascii="Verdana" w:hAnsi="Verdana"/>
          <w:b/>
        </w:rPr>
        <w:t>,</w:t>
      </w:r>
      <w:r w:rsidR="00CE75AC" w:rsidRPr="00CE75AC">
        <w:rPr>
          <w:rFonts w:ascii="Verdana" w:hAnsi="Verdana"/>
          <w:b/>
        </w:rPr>
        <w:t>9</w:t>
      </w:r>
      <w:r w:rsidRPr="00DA19A2">
        <w:rPr>
          <w:rFonts w:ascii="Verdana" w:hAnsi="Verdana"/>
          <w:b/>
        </w:rPr>
        <w:t xml:space="preserve">% στην διαμόρφωση του ΑΕΠ, ενώ απασχολεί το </w:t>
      </w:r>
      <w:r w:rsidR="009C0DFF" w:rsidRPr="00DA19A2">
        <w:rPr>
          <w:rFonts w:ascii="Verdana" w:hAnsi="Verdana"/>
          <w:b/>
        </w:rPr>
        <w:t xml:space="preserve">49% του εργατικού δυναμικού. </w:t>
      </w:r>
    </w:p>
    <w:p w:rsidR="006664FA" w:rsidRPr="003558CC" w:rsidRDefault="009C0DFF" w:rsidP="003558CC">
      <w:pPr>
        <w:jc w:val="both"/>
        <w:rPr>
          <w:rFonts w:ascii="Verdana" w:hAnsi="Verdana"/>
        </w:rPr>
      </w:pPr>
      <w:r w:rsidRPr="003558CC">
        <w:rPr>
          <w:rFonts w:ascii="Verdana" w:hAnsi="Verdana"/>
        </w:rPr>
        <w:t>Οι πλέον αναπτυσσόμενοι κλάδοι είναι</w:t>
      </w:r>
      <w:r w:rsidR="00DA19A2">
        <w:rPr>
          <w:rFonts w:ascii="Verdana" w:hAnsi="Verdana"/>
        </w:rPr>
        <w:t xml:space="preserve"> ο τραπεζικός, οι κατασκευές,</w:t>
      </w:r>
      <w:r w:rsidRPr="003558CC">
        <w:rPr>
          <w:rFonts w:ascii="Verdana" w:hAnsi="Verdana"/>
        </w:rPr>
        <w:t xml:space="preserve"> η αγορά ακινήτων καθώς και ο τουριστικός κλάδος.</w:t>
      </w:r>
      <w:r w:rsidR="006664FA" w:rsidRPr="003558CC">
        <w:rPr>
          <w:rFonts w:ascii="Verdana" w:hAnsi="Verdana"/>
        </w:rPr>
        <w:t xml:space="preserve"> Σύμφωνα με την Στατιστική Υπηρεσία του Αζερμπαϊτζάν </w:t>
      </w:r>
      <w:r w:rsidR="006664FA" w:rsidRPr="007B003D">
        <w:rPr>
          <w:rFonts w:ascii="Verdana" w:hAnsi="Verdana"/>
        </w:rPr>
        <w:t>το 201</w:t>
      </w:r>
      <w:r w:rsidR="002D3F33" w:rsidRPr="007B003D">
        <w:rPr>
          <w:rFonts w:ascii="Verdana" w:hAnsi="Verdana"/>
        </w:rPr>
        <w:t>9</w:t>
      </w:r>
      <w:r w:rsidR="006664FA" w:rsidRPr="007B003D">
        <w:rPr>
          <w:rFonts w:ascii="Verdana" w:hAnsi="Verdana"/>
        </w:rPr>
        <w:t xml:space="preserve"> </w:t>
      </w:r>
      <w:proofErr w:type="spellStart"/>
      <w:r w:rsidR="006664FA" w:rsidRPr="007B003D">
        <w:rPr>
          <w:rFonts w:ascii="Verdana" w:hAnsi="Verdana"/>
        </w:rPr>
        <w:t>επισκέφθησαν</w:t>
      </w:r>
      <w:proofErr w:type="spellEnd"/>
      <w:r w:rsidR="006664FA" w:rsidRPr="007B003D">
        <w:rPr>
          <w:rFonts w:ascii="Verdana" w:hAnsi="Verdana"/>
        </w:rPr>
        <w:t xml:space="preserve"> την χώρα </w:t>
      </w:r>
      <w:r w:rsidR="002D3F33" w:rsidRPr="007B003D">
        <w:rPr>
          <w:rFonts w:ascii="Verdana" w:hAnsi="Verdana"/>
        </w:rPr>
        <w:t xml:space="preserve">3.170.000 </w:t>
      </w:r>
      <w:r w:rsidR="006664FA" w:rsidRPr="007B003D">
        <w:rPr>
          <w:rFonts w:ascii="Verdana" w:hAnsi="Verdana"/>
        </w:rPr>
        <w:t>τουρίστες</w:t>
      </w:r>
      <w:r w:rsidR="002D3F33">
        <w:rPr>
          <w:rFonts w:ascii="Verdana" w:hAnsi="Verdana"/>
        </w:rPr>
        <w:t xml:space="preserve"> από 19</w:t>
      </w:r>
      <w:r w:rsidR="002D3F33" w:rsidRPr="002D3F33">
        <w:rPr>
          <w:rFonts w:ascii="Verdana" w:hAnsi="Verdana"/>
        </w:rPr>
        <w:t>3</w:t>
      </w:r>
      <w:r w:rsidR="006664FA" w:rsidRPr="003558CC">
        <w:rPr>
          <w:rFonts w:ascii="Verdana" w:hAnsi="Verdana"/>
        </w:rPr>
        <w:t xml:space="preserve"> χώρες. Οι καταγραφείσες αφίξεις παρουσίασαν αύξηση κατά </w:t>
      </w:r>
      <w:r w:rsidR="002D3F33" w:rsidRPr="002D3F33">
        <w:rPr>
          <w:rFonts w:ascii="Verdana" w:hAnsi="Verdana"/>
        </w:rPr>
        <w:t>11,3</w:t>
      </w:r>
      <w:r w:rsidR="002D3F33">
        <w:rPr>
          <w:rFonts w:ascii="Verdana" w:hAnsi="Verdana"/>
        </w:rPr>
        <w:t>% συγκριτικά με το 201</w:t>
      </w:r>
      <w:r w:rsidR="002D3F33" w:rsidRPr="002D3F33">
        <w:rPr>
          <w:rFonts w:ascii="Verdana" w:hAnsi="Verdana"/>
        </w:rPr>
        <w:t>8</w:t>
      </w:r>
      <w:r w:rsidR="006664FA" w:rsidRPr="003558CC">
        <w:rPr>
          <w:rFonts w:ascii="Verdana" w:hAnsi="Verdana"/>
        </w:rPr>
        <w:t xml:space="preserve">. Οι ρώσοι τουρίστες καταλαμβάνουν την πρώτη θέση μεταξύ των επισκεπτών της χώρας με ποσοστό </w:t>
      </w:r>
      <w:r w:rsidR="002D3F33" w:rsidRPr="002D3F33">
        <w:rPr>
          <w:rFonts w:ascii="Verdana" w:hAnsi="Verdana"/>
        </w:rPr>
        <w:t>29,4</w:t>
      </w:r>
      <w:r w:rsidR="006664FA" w:rsidRPr="003558CC">
        <w:rPr>
          <w:rFonts w:ascii="Verdana" w:hAnsi="Verdana"/>
        </w:rPr>
        <w:t>% στο σύνολο των αφίξεων. Ακολουθούν τουρίστ</w:t>
      </w:r>
      <w:r w:rsidR="007B003D">
        <w:rPr>
          <w:rFonts w:ascii="Verdana" w:hAnsi="Verdana"/>
        </w:rPr>
        <w:t>ες από την Γεωργία με ποσοστό 2</w:t>
      </w:r>
      <w:r w:rsidR="007B003D" w:rsidRPr="007B003D">
        <w:rPr>
          <w:rFonts w:ascii="Verdana" w:hAnsi="Verdana"/>
        </w:rPr>
        <w:t>2</w:t>
      </w:r>
      <w:r w:rsidR="007B003D">
        <w:rPr>
          <w:rFonts w:ascii="Verdana" w:hAnsi="Verdana"/>
        </w:rPr>
        <w:t>,</w:t>
      </w:r>
      <w:r w:rsidR="007B003D" w:rsidRPr="007B003D">
        <w:rPr>
          <w:rFonts w:ascii="Verdana" w:hAnsi="Verdana"/>
        </w:rPr>
        <w:t>9</w:t>
      </w:r>
      <w:r w:rsidR="006664FA" w:rsidRPr="003558CC">
        <w:rPr>
          <w:rFonts w:ascii="Verdana" w:hAnsi="Verdana"/>
        </w:rPr>
        <w:t xml:space="preserve">%, την Τουρκία με </w:t>
      </w:r>
      <w:r w:rsidR="007B003D" w:rsidRPr="007B003D">
        <w:rPr>
          <w:rFonts w:ascii="Verdana" w:hAnsi="Verdana"/>
        </w:rPr>
        <w:t>8,1</w:t>
      </w:r>
      <w:r w:rsidR="006664FA" w:rsidRPr="003558CC">
        <w:rPr>
          <w:rFonts w:ascii="Verdana" w:hAnsi="Verdana"/>
        </w:rPr>
        <w:t xml:space="preserve">%, το Ιράν </w:t>
      </w:r>
      <w:r w:rsidR="007B003D" w:rsidRPr="007B003D">
        <w:rPr>
          <w:rFonts w:ascii="Verdana" w:hAnsi="Verdana"/>
        </w:rPr>
        <w:t>3,4</w:t>
      </w:r>
      <w:r w:rsidR="006664FA" w:rsidRPr="003558CC">
        <w:rPr>
          <w:rFonts w:ascii="Verdana" w:hAnsi="Verdana"/>
        </w:rPr>
        <w:t xml:space="preserve">%, </w:t>
      </w:r>
      <w:r w:rsidR="007B003D">
        <w:rPr>
          <w:rFonts w:ascii="Verdana" w:hAnsi="Verdana"/>
        </w:rPr>
        <w:t>τη Σ. Αραβία με 2,</w:t>
      </w:r>
      <w:r w:rsidR="007B003D" w:rsidRPr="007B003D">
        <w:rPr>
          <w:rFonts w:ascii="Verdana" w:hAnsi="Verdana"/>
        </w:rPr>
        <w:t>2</w:t>
      </w:r>
      <w:r w:rsidR="007B003D" w:rsidRPr="003558CC">
        <w:rPr>
          <w:rFonts w:ascii="Verdana" w:hAnsi="Verdana"/>
        </w:rPr>
        <w:t xml:space="preserve">%, </w:t>
      </w:r>
      <w:r w:rsidR="006664FA" w:rsidRPr="003558CC">
        <w:rPr>
          <w:rFonts w:ascii="Verdana" w:hAnsi="Verdana"/>
        </w:rPr>
        <w:t xml:space="preserve">τα </w:t>
      </w:r>
      <w:r w:rsidR="007B003D">
        <w:rPr>
          <w:rFonts w:ascii="Verdana" w:hAnsi="Verdana"/>
        </w:rPr>
        <w:t xml:space="preserve">ΗΑΕ με </w:t>
      </w:r>
      <w:r w:rsidR="007B003D" w:rsidRPr="007B003D">
        <w:rPr>
          <w:rFonts w:ascii="Verdana" w:hAnsi="Verdana"/>
        </w:rPr>
        <w:t>2,1</w:t>
      </w:r>
      <w:r w:rsidR="007B003D">
        <w:rPr>
          <w:rFonts w:ascii="Verdana" w:hAnsi="Verdana"/>
        </w:rPr>
        <w:t>%, την Ινδία  με 1,9%</w:t>
      </w:r>
      <w:r w:rsidR="006664FA" w:rsidRPr="003558CC">
        <w:rPr>
          <w:rFonts w:ascii="Verdana" w:hAnsi="Verdana"/>
        </w:rPr>
        <w:t xml:space="preserve"> </w:t>
      </w:r>
      <w:r w:rsidR="007B003D" w:rsidRPr="003558CC">
        <w:rPr>
          <w:rFonts w:ascii="Verdana" w:hAnsi="Verdana"/>
        </w:rPr>
        <w:t xml:space="preserve">και </w:t>
      </w:r>
      <w:r w:rsidR="006664FA" w:rsidRPr="003558CC">
        <w:rPr>
          <w:rFonts w:ascii="Verdana" w:hAnsi="Verdana"/>
        </w:rPr>
        <w:t>την Ουκρανία με</w:t>
      </w:r>
      <w:r w:rsidR="007B003D">
        <w:rPr>
          <w:rFonts w:ascii="Verdana" w:hAnsi="Verdana"/>
        </w:rPr>
        <w:t xml:space="preserve"> 1,6</w:t>
      </w:r>
      <w:r w:rsidR="006664FA" w:rsidRPr="003558CC">
        <w:rPr>
          <w:rFonts w:ascii="Verdana" w:hAnsi="Verdana"/>
        </w:rPr>
        <w:t xml:space="preserve">%. Οι αφίξεις από την ΕΕ σημείωσαν αύξηση κατά </w:t>
      </w:r>
      <w:r w:rsidR="007B003D">
        <w:rPr>
          <w:rFonts w:ascii="Verdana" w:hAnsi="Verdana"/>
        </w:rPr>
        <w:t>21,3</w:t>
      </w:r>
      <w:r w:rsidR="006664FA" w:rsidRPr="003558CC">
        <w:rPr>
          <w:rFonts w:ascii="Verdana" w:hAnsi="Verdana"/>
        </w:rPr>
        <w:t>% ανερχόμενες σε 1</w:t>
      </w:r>
      <w:r w:rsidR="007B003D">
        <w:rPr>
          <w:rFonts w:ascii="Verdana" w:hAnsi="Verdana"/>
        </w:rPr>
        <w:t>36</w:t>
      </w:r>
      <w:r w:rsidR="006664FA" w:rsidRPr="003558CC">
        <w:rPr>
          <w:rFonts w:ascii="Verdana" w:hAnsi="Verdana"/>
        </w:rPr>
        <w:t>.500.</w:t>
      </w:r>
    </w:p>
    <w:p w:rsidR="006664FA" w:rsidRDefault="006664FA" w:rsidP="003558CC">
      <w:pPr>
        <w:jc w:val="both"/>
        <w:rPr>
          <w:rFonts w:ascii="Verdana" w:hAnsi="Verdana"/>
        </w:rPr>
      </w:pPr>
      <w:r w:rsidRPr="003558CC">
        <w:rPr>
          <w:rFonts w:ascii="Verdana" w:hAnsi="Verdana"/>
        </w:rPr>
        <w:lastRenderedPageBreak/>
        <w:t>Ο μεγα</w:t>
      </w:r>
      <w:r w:rsidR="00DA19A2">
        <w:rPr>
          <w:rFonts w:ascii="Verdana" w:hAnsi="Verdana"/>
        </w:rPr>
        <w:t>λύτερος αριθμός των τουριστών (</w:t>
      </w:r>
      <w:r w:rsidR="007B003D">
        <w:rPr>
          <w:rFonts w:ascii="Verdana" w:hAnsi="Verdana"/>
        </w:rPr>
        <w:t>58,7</w:t>
      </w:r>
      <w:r w:rsidRPr="003558CC">
        <w:rPr>
          <w:rFonts w:ascii="Verdana" w:hAnsi="Verdana"/>
        </w:rPr>
        <w:t>%) αφίχθησ</w:t>
      </w:r>
      <w:r w:rsidR="007B003D">
        <w:rPr>
          <w:rFonts w:ascii="Verdana" w:hAnsi="Verdana"/>
        </w:rPr>
        <w:t>αν οδικώς και σιδηροδρομικώς, 40,5% αεροπορικώς, ενώ το 0,8</w:t>
      </w:r>
      <w:r w:rsidRPr="003558CC">
        <w:rPr>
          <w:rFonts w:ascii="Verdana" w:hAnsi="Verdana"/>
        </w:rPr>
        <w:t xml:space="preserve">% χρησιμοποίησαν την θαλάσσια οδό. Η </w:t>
      </w:r>
      <w:proofErr w:type="spellStart"/>
      <w:r w:rsidRPr="003558CC">
        <w:rPr>
          <w:rFonts w:ascii="Verdana" w:hAnsi="Verdana"/>
        </w:rPr>
        <w:t>καταγραφόμενη</w:t>
      </w:r>
      <w:proofErr w:type="spellEnd"/>
      <w:r w:rsidRPr="003558CC">
        <w:rPr>
          <w:rFonts w:ascii="Verdana" w:hAnsi="Verdana"/>
        </w:rPr>
        <w:t xml:space="preserve"> αύξηση του τουριστικού ρεύματος προς την χώρα αποδίδεται σε σημαντικό βαθμό και στην απλοποίηση των διαδικασιών χορήγησης βίζας, αφού για πολίτες κάποιων χωρών είναι πλέον δυνατή η χορήγηση βίζας στα αεροδρόμια κατά την άφιξη τους, ενώ για άλλους παρέχεται η δυνατότητα </w:t>
      </w:r>
      <w:proofErr w:type="spellStart"/>
      <w:r w:rsidRPr="003558CC">
        <w:rPr>
          <w:rFonts w:ascii="Verdana" w:hAnsi="Verdana"/>
        </w:rPr>
        <w:t>online</w:t>
      </w:r>
      <w:proofErr w:type="spellEnd"/>
      <w:r w:rsidRPr="003558CC">
        <w:rPr>
          <w:rFonts w:ascii="Verdana" w:hAnsi="Verdana"/>
        </w:rPr>
        <w:t xml:space="preserve"> αίτησης και χορήγησης θεώρησης εισόδου.</w:t>
      </w:r>
    </w:p>
    <w:p w:rsidR="00846EBA" w:rsidRDefault="00846EBA" w:rsidP="003558CC">
      <w:pPr>
        <w:jc w:val="both"/>
        <w:rPr>
          <w:rFonts w:ascii="Verdana" w:hAnsi="Verdana"/>
        </w:rPr>
      </w:pPr>
    </w:p>
    <w:p w:rsidR="00846EBA" w:rsidRPr="00846EBA" w:rsidRDefault="00846EBA" w:rsidP="003558CC">
      <w:pPr>
        <w:jc w:val="both"/>
        <w:rPr>
          <w:rFonts w:ascii="Verdana" w:hAnsi="Verdana"/>
          <w:b/>
          <w:color w:val="002060"/>
          <w:sz w:val="24"/>
          <w:szCs w:val="24"/>
        </w:rPr>
      </w:pPr>
      <w:r w:rsidRPr="00846EBA">
        <w:rPr>
          <w:rFonts w:ascii="Verdana" w:hAnsi="Verdana"/>
          <w:b/>
          <w:color w:val="002060"/>
          <w:sz w:val="24"/>
          <w:szCs w:val="24"/>
        </w:rPr>
        <w:t>3.4 ΥΠΟΔΟΜΕΣ</w:t>
      </w:r>
    </w:p>
    <w:p w:rsidR="00846EBA" w:rsidRPr="00846EBA" w:rsidRDefault="00846EBA" w:rsidP="00846EBA">
      <w:pPr>
        <w:jc w:val="both"/>
        <w:rPr>
          <w:rFonts w:ascii="Verdana" w:hAnsi="Verdana"/>
        </w:rPr>
      </w:pPr>
      <w:r w:rsidRPr="00846EBA">
        <w:rPr>
          <w:rFonts w:ascii="Verdana" w:hAnsi="Verdana"/>
        </w:rPr>
        <w:t xml:space="preserve">Ο εκσυγχρονισμός των πεπαλαιωμένων, από την σοβιετική εποχή, υποδομών της χώρας, στις οποίες συμπεριλαμβάνονται το οδικό και σιδηροδρομικό δίκτυο, γέφυρες, λιμάνια, αεροδρόμια, αγωγοί μεταφοράς πετρελαίου και αερίου, αποτελεί προτεραιότητα για την </w:t>
      </w:r>
      <w:proofErr w:type="spellStart"/>
      <w:r w:rsidRPr="00846EBA">
        <w:rPr>
          <w:rFonts w:ascii="Verdana" w:hAnsi="Verdana"/>
        </w:rPr>
        <w:t>αζερική</w:t>
      </w:r>
      <w:proofErr w:type="spellEnd"/>
      <w:r w:rsidRPr="00846EBA">
        <w:rPr>
          <w:rFonts w:ascii="Verdana" w:hAnsi="Verdana"/>
        </w:rPr>
        <w:t xml:space="preserve"> κυβέρνηση. Η ανάπτυξη σύγχρονων υποδομών εξυπηρετεί και τον στρατηγικό στόχο της χώρας να καταστεί κόμβος μεταφορών και διακίνησης εμπορευμάτων τόσο στο πλαίσιο του λεγόμενου Δρόμου της </w:t>
      </w:r>
      <w:proofErr w:type="spellStart"/>
      <w:r w:rsidRPr="00846EBA">
        <w:rPr>
          <w:rFonts w:ascii="Verdana" w:hAnsi="Verdana"/>
        </w:rPr>
        <w:t>Μετάξης</w:t>
      </w:r>
      <w:proofErr w:type="spellEnd"/>
      <w:r w:rsidRPr="00846EBA">
        <w:rPr>
          <w:rFonts w:ascii="Verdana" w:hAnsi="Verdana"/>
        </w:rPr>
        <w:t xml:space="preserve"> όσο και στον υπό σχεδιασμό άξονα Βορρά – Νότου με απόληξη στον Ινδικό Ωκεανό. Τα περισσότερα έσοδα προερχόμενα από την πώληση (εξαγωγή) των υδρογονανθράκων την τελευταία δεκαετία κατέληξαν στην αναβάθμιση υποδομών μέσω ενός εκτεταμένου ΠΔΕ. Κατά τα τελευταία χρόνια αγοράσθηκαν νέα πλοία, επιβατικά και εμπορευματικά και δόθηκαν σε λειτουργία δύο νέα διεθνή αεροδρόμια, στο </w:t>
      </w:r>
      <w:proofErr w:type="spellStart"/>
      <w:r w:rsidRPr="00846EBA">
        <w:rPr>
          <w:rFonts w:ascii="Verdana" w:hAnsi="Verdana"/>
        </w:rPr>
        <w:t>Λανκαράν</w:t>
      </w:r>
      <w:proofErr w:type="spellEnd"/>
      <w:r w:rsidRPr="00846EBA">
        <w:rPr>
          <w:rFonts w:ascii="Verdana" w:hAnsi="Verdana"/>
        </w:rPr>
        <w:t xml:space="preserve"> και στη </w:t>
      </w:r>
      <w:proofErr w:type="spellStart"/>
      <w:r w:rsidRPr="00846EBA">
        <w:rPr>
          <w:rFonts w:ascii="Verdana" w:hAnsi="Verdana"/>
        </w:rPr>
        <w:t>Ζαγκατάλα</w:t>
      </w:r>
      <w:proofErr w:type="spellEnd"/>
      <w:r w:rsidRPr="00846EBA">
        <w:rPr>
          <w:rFonts w:ascii="Verdana" w:hAnsi="Verdana"/>
        </w:rPr>
        <w:t xml:space="preserve">. Στους σχεδιασμούς της κυβέρνησης βρίσκονται επίσης τα δίκτυα διανομής ηλεκτρικής ενέργειας, πόσιμου νερού, σταθερής και κινητής τηλεφωνίας, των οποίων η αναβάθμιση αποτελεί σημαντικό βραχυπρόθεσμο στόχο. </w:t>
      </w:r>
    </w:p>
    <w:p w:rsidR="00846EBA" w:rsidRPr="00846EBA" w:rsidRDefault="00846EBA" w:rsidP="00846EBA">
      <w:pPr>
        <w:pStyle w:val="4"/>
        <w:keepLines w:val="0"/>
        <w:numPr>
          <w:ilvl w:val="0"/>
          <w:numId w:val="44"/>
        </w:numPr>
        <w:spacing w:before="240" w:after="60" w:line="240" w:lineRule="auto"/>
        <w:rPr>
          <w:rFonts w:ascii="Verdana" w:hAnsi="Verdana"/>
          <w:color w:val="002060"/>
          <w:sz w:val="24"/>
          <w:szCs w:val="24"/>
        </w:rPr>
      </w:pPr>
      <w:bookmarkStart w:id="13" w:name="_Toc392595491"/>
      <w:r w:rsidRPr="00846EBA">
        <w:rPr>
          <w:rFonts w:ascii="Verdana" w:hAnsi="Verdana"/>
          <w:color w:val="002060"/>
          <w:sz w:val="24"/>
          <w:szCs w:val="24"/>
        </w:rPr>
        <w:t>Οδικό δίκτυο</w:t>
      </w:r>
      <w:bookmarkEnd w:id="13"/>
    </w:p>
    <w:p w:rsidR="00846EBA" w:rsidRPr="00846EBA" w:rsidRDefault="00846EBA" w:rsidP="00846EBA">
      <w:pPr>
        <w:jc w:val="both"/>
        <w:rPr>
          <w:rFonts w:ascii="Verdana" w:hAnsi="Verdana"/>
        </w:rPr>
      </w:pPr>
      <w:r w:rsidRPr="00846EBA">
        <w:rPr>
          <w:rFonts w:ascii="Verdana" w:hAnsi="Verdana"/>
        </w:rPr>
        <w:t xml:space="preserve">Το οδικό δίκτυο της χώρας εκσυγχρονίζεται σταδιακά. Εντός των τελευταίων ετών κατασκευάστηκαν νέες γέφυρες και επισκευάσθηκαν τμήματα οδικών αρτηριών, ωστόσο η πλειονότητα των επαρχιακών δρόμων παραμένει σε κακή κατάσταση. Το συνολικό μήκος των </w:t>
      </w:r>
      <w:proofErr w:type="spellStart"/>
      <w:r w:rsidRPr="00846EBA">
        <w:rPr>
          <w:rFonts w:ascii="Verdana" w:hAnsi="Verdana"/>
        </w:rPr>
        <w:t>αζερικών</w:t>
      </w:r>
      <w:proofErr w:type="spellEnd"/>
      <w:r w:rsidRPr="00846EBA">
        <w:rPr>
          <w:rFonts w:ascii="Verdana" w:hAnsi="Verdana"/>
        </w:rPr>
        <w:t xml:space="preserve"> οδικών αρτηριών είναι 19.000 χλμ., εκ των οποίων το 99% ασφαλτοστρωμένα. Ο αριθμός των ΙΧ και ΔΧ οχημάτων αυξάνεται δραματικά κάθε χρόνο στο Αζερμπαϊτζάν: από μόλις 612.000 το 2005 σε 1.</w:t>
      </w:r>
      <w:r w:rsidR="00A73561">
        <w:rPr>
          <w:rFonts w:ascii="Verdana" w:hAnsi="Verdana"/>
        </w:rPr>
        <w:t>214</w:t>
      </w:r>
      <w:r w:rsidRPr="00846EBA">
        <w:rPr>
          <w:rFonts w:ascii="Verdana" w:hAnsi="Verdana"/>
        </w:rPr>
        <w:t>.</w:t>
      </w:r>
      <w:r w:rsidR="00A73561">
        <w:rPr>
          <w:rFonts w:ascii="Verdana" w:hAnsi="Verdana"/>
        </w:rPr>
        <w:t xml:space="preserve">093 </w:t>
      </w:r>
      <w:r w:rsidRPr="00846EBA">
        <w:rPr>
          <w:rFonts w:ascii="Verdana" w:hAnsi="Verdana"/>
        </w:rPr>
        <w:t xml:space="preserve">στο τέλος του </w:t>
      </w:r>
      <w:r w:rsidR="00A73561" w:rsidRPr="00A73561">
        <w:rPr>
          <w:rFonts w:ascii="Verdana" w:hAnsi="Verdana"/>
        </w:rPr>
        <w:t>2019</w:t>
      </w:r>
      <w:r w:rsidRPr="00A73561">
        <w:rPr>
          <w:rFonts w:ascii="Verdana" w:hAnsi="Verdana"/>
        </w:rPr>
        <w:t>,</w:t>
      </w:r>
      <w:r w:rsidRPr="00846EBA">
        <w:rPr>
          <w:rFonts w:ascii="Verdana" w:hAnsi="Verdana"/>
        </w:rPr>
        <w:t xml:space="preserve"> με αποτέλεσμα την επιδείνωση των  κυκλοφοριακών προβλημάτων, ιδίως στα μεγάλα αστικά κέντρα.</w:t>
      </w:r>
    </w:p>
    <w:p w:rsidR="00846EBA" w:rsidRPr="00846EBA" w:rsidRDefault="00846EBA" w:rsidP="00846EBA">
      <w:pPr>
        <w:pStyle w:val="4"/>
        <w:keepLines w:val="0"/>
        <w:numPr>
          <w:ilvl w:val="0"/>
          <w:numId w:val="44"/>
        </w:numPr>
        <w:spacing w:before="240" w:after="60" w:line="240" w:lineRule="auto"/>
        <w:rPr>
          <w:rFonts w:ascii="Verdana" w:hAnsi="Verdana"/>
          <w:color w:val="002060"/>
          <w:sz w:val="24"/>
          <w:szCs w:val="24"/>
        </w:rPr>
      </w:pPr>
      <w:bookmarkStart w:id="14" w:name="_Toc392595492"/>
      <w:r w:rsidRPr="00846EBA">
        <w:rPr>
          <w:rFonts w:ascii="Verdana" w:hAnsi="Verdana"/>
          <w:color w:val="002060"/>
          <w:sz w:val="24"/>
          <w:szCs w:val="24"/>
        </w:rPr>
        <w:t>Σιδηροδρομικό δίκτυο</w:t>
      </w:r>
      <w:bookmarkEnd w:id="14"/>
    </w:p>
    <w:p w:rsidR="00846EBA" w:rsidRPr="00846EBA" w:rsidRDefault="00846EBA" w:rsidP="00846EBA">
      <w:pPr>
        <w:jc w:val="both"/>
        <w:rPr>
          <w:rFonts w:ascii="Verdana" w:hAnsi="Verdana"/>
        </w:rPr>
      </w:pPr>
      <w:r w:rsidRPr="00846EBA">
        <w:rPr>
          <w:rFonts w:ascii="Verdana" w:hAnsi="Verdana"/>
        </w:rPr>
        <w:t>Επί του παρόντος, το συνολικό μήκος του υφισταμένου σιδηροδρομικού δικτύου της χώρας ανέρχεται σε 2.133 χλμ. Η κυβέρνηση της χώρας επεξεργάστηκε πρόγραμμα αναβάθμισης των σοβιετικής προέλευσης υποδομών της χώρας, το οποίο υλοποιήθηκε κατά την περίοδο 2010-2014 με κόστος 1,2 δις $. Το πρόγραμμα αφορούσε τον εκσυγχρονισμό του δικτύου και την αναδιάρθρωση της λειτουργίας του Οργανισμού Σιδηροδρόμων (</w:t>
      </w:r>
      <w:proofErr w:type="spellStart"/>
      <w:r w:rsidRPr="00846EBA">
        <w:rPr>
          <w:rFonts w:ascii="Verdana" w:hAnsi="Verdana"/>
        </w:rPr>
        <w:t>Azerbaijan</w:t>
      </w:r>
      <w:proofErr w:type="spellEnd"/>
      <w:r w:rsidRPr="00846EBA">
        <w:rPr>
          <w:rFonts w:ascii="Verdana" w:hAnsi="Verdana"/>
        </w:rPr>
        <w:t xml:space="preserve"> </w:t>
      </w:r>
      <w:proofErr w:type="spellStart"/>
      <w:r w:rsidRPr="00846EBA">
        <w:rPr>
          <w:rFonts w:ascii="Verdana" w:hAnsi="Verdana"/>
        </w:rPr>
        <w:t>Railways</w:t>
      </w:r>
      <w:proofErr w:type="spellEnd"/>
      <w:r w:rsidRPr="00846EBA">
        <w:rPr>
          <w:rFonts w:ascii="Verdana" w:hAnsi="Verdana"/>
        </w:rPr>
        <w:t xml:space="preserve"> </w:t>
      </w:r>
      <w:r w:rsidRPr="00846EBA">
        <w:rPr>
          <w:rFonts w:ascii="Verdana" w:hAnsi="Verdana"/>
          <w:lang w:val="en-US"/>
        </w:rPr>
        <w:t>Closed</w:t>
      </w:r>
      <w:r w:rsidRPr="00846EBA">
        <w:rPr>
          <w:rFonts w:ascii="Verdana" w:hAnsi="Verdana"/>
        </w:rPr>
        <w:t xml:space="preserve"> </w:t>
      </w:r>
      <w:r w:rsidRPr="00846EBA">
        <w:rPr>
          <w:rFonts w:ascii="Verdana" w:hAnsi="Verdana"/>
          <w:lang w:val="en-US"/>
        </w:rPr>
        <w:t>Joint</w:t>
      </w:r>
      <w:r w:rsidRPr="00846EBA">
        <w:rPr>
          <w:rFonts w:ascii="Verdana" w:hAnsi="Verdana"/>
        </w:rPr>
        <w:t xml:space="preserve"> </w:t>
      </w:r>
      <w:r w:rsidRPr="00846EBA">
        <w:rPr>
          <w:rFonts w:ascii="Verdana" w:hAnsi="Verdana"/>
          <w:lang w:val="en-US"/>
        </w:rPr>
        <w:lastRenderedPageBreak/>
        <w:t>Stock</w:t>
      </w:r>
      <w:r w:rsidRPr="00846EBA">
        <w:rPr>
          <w:rFonts w:ascii="Verdana" w:hAnsi="Verdana"/>
        </w:rPr>
        <w:t xml:space="preserve"> </w:t>
      </w:r>
      <w:r w:rsidRPr="00846EBA">
        <w:rPr>
          <w:rFonts w:ascii="Verdana" w:hAnsi="Verdana"/>
          <w:lang w:val="en-US"/>
        </w:rPr>
        <w:t>Company</w:t>
      </w:r>
      <w:r w:rsidRPr="00846EBA">
        <w:rPr>
          <w:rFonts w:ascii="Verdana" w:hAnsi="Verdana"/>
        </w:rPr>
        <w:t xml:space="preserve">). Στην εκπόνησή αυτού συνεργάστηκαν ειδικοί της Παγκόσμιας Τράπεζας και άλλων διεθνών οργανισμών. </w:t>
      </w:r>
    </w:p>
    <w:p w:rsidR="00846EBA" w:rsidRPr="00846EBA" w:rsidRDefault="00846EBA" w:rsidP="00846EBA">
      <w:pPr>
        <w:jc w:val="both"/>
        <w:rPr>
          <w:rFonts w:ascii="Verdana" w:hAnsi="Verdana"/>
        </w:rPr>
      </w:pPr>
      <w:r w:rsidRPr="00846EBA">
        <w:rPr>
          <w:rFonts w:ascii="Verdana" w:hAnsi="Verdana"/>
        </w:rPr>
        <w:t xml:space="preserve">Ως προς τις διεθνείς συνδέσεις, ήδη από τις αρχές του 2007 είχε υπογραφεί η τριμερής συμφωνία μεταξύ Αζερμπαϊτζάν, Γεωργίας και Τουρκίας για τη σύγχρονη σιδηροδρομική γραμμή </w:t>
      </w:r>
      <w:r w:rsidRPr="00846EBA">
        <w:rPr>
          <w:rFonts w:ascii="Verdana" w:hAnsi="Verdana"/>
          <w:b/>
          <w:bCs/>
        </w:rPr>
        <w:t>ΒΤΚ</w:t>
      </w:r>
      <w:r w:rsidRPr="00846EBA">
        <w:rPr>
          <w:rFonts w:ascii="Verdana" w:hAnsi="Verdana"/>
        </w:rPr>
        <w:t xml:space="preserve"> (</w:t>
      </w:r>
      <w:r w:rsidRPr="00846EBA">
        <w:rPr>
          <w:rFonts w:ascii="Verdana" w:hAnsi="Verdana"/>
          <w:i/>
          <w:iCs/>
        </w:rPr>
        <w:t xml:space="preserve">Μπακού- Τιφλίδα- </w:t>
      </w:r>
      <w:proofErr w:type="spellStart"/>
      <w:r w:rsidRPr="00846EBA">
        <w:rPr>
          <w:rFonts w:ascii="Verdana" w:hAnsi="Verdana"/>
          <w:i/>
          <w:iCs/>
        </w:rPr>
        <w:t>Καρς</w:t>
      </w:r>
      <w:proofErr w:type="spellEnd"/>
      <w:r w:rsidRPr="00846EBA">
        <w:rPr>
          <w:rFonts w:ascii="Verdana" w:hAnsi="Verdana"/>
        </w:rPr>
        <w:t xml:space="preserve">), ένα έργο το οποίο -μετά από αλλεπάλληλες καθυστερήσεις- εγκαινιάστηκε τελικά τον Οκτώβριο του 2017 με συνολικό μήκος 826 χιλιομέτρων. Τη «μερίδα του λέοντος» (775 εκ. $) επί της συνολικής χρηματοδότησης του ΒΤΚ επωμίσθηκε το ίδιο το Αζερμπαϊτζάν, με τα 640 εκ. να προέρχονται από το Κρατικό Ταμείο Υδρογονανθράκων, το </w:t>
      </w:r>
      <w:r w:rsidRPr="00846EBA">
        <w:rPr>
          <w:rFonts w:ascii="Verdana" w:hAnsi="Verdana"/>
          <w:lang w:val="en-US"/>
        </w:rPr>
        <w:t>SOFAZ</w:t>
      </w:r>
      <w:r w:rsidRPr="00846EBA">
        <w:rPr>
          <w:rFonts w:ascii="Verdana" w:hAnsi="Verdana"/>
        </w:rPr>
        <w:t xml:space="preserve"> (</w:t>
      </w:r>
      <w:proofErr w:type="spellStart"/>
      <w:r w:rsidRPr="00846EBA">
        <w:rPr>
          <w:rFonts w:ascii="Verdana" w:hAnsi="Verdana"/>
        </w:rPr>
        <w:t>State</w:t>
      </w:r>
      <w:proofErr w:type="spellEnd"/>
      <w:r w:rsidRPr="00846EBA">
        <w:rPr>
          <w:rFonts w:ascii="Verdana" w:hAnsi="Verdana"/>
        </w:rPr>
        <w:t xml:space="preserve"> Oil Fund of </w:t>
      </w:r>
      <w:proofErr w:type="spellStart"/>
      <w:r w:rsidRPr="00846EBA">
        <w:rPr>
          <w:rFonts w:ascii="Verdana" w:hAnsi="Verdana"/>
        </w:rPr>
        <w:t>Azerbaijan</w:t>
      </w:r>
      <w:proofErr w:type="spellEnd"/>
      <w:r w:rsidRPr="00846EBA">
        <w:rPr>
          <w:rFonts w:ascii="Verdana" w:hAnsi="Verdana"/>
        </w:rPr>
        <w:t xml:space="preserve">). Αυτή η γραμμή αναμένεται να αυξήσει σημαντικά την εμπορευματική κίνηση από την Ασία προς την Ευρώπη: ο μέγιστος όγκος μεταφοράς εμπορευμάτων κατά μήκος του διαδρόμου ΒΤΚ προβλέπεται να ανέλθει σταδιακά σε 17 εκατ. τόνους ετησίως (σε αρχικό στάδιο, θα είναι 5 εκατ.) και σε 3 εκατ. επιβάτες ετησίως. Ειδικά για τις μεταφορές επιβατών οι </w:t>
      </w:r>
      <w:proofErr w:type="spellStart"/>
      <w:r w:rsidRPr="00846EBA">
        <w:rPr>
          <w:rFonts w:ascii="Verdana" w:hAnsi="Verdana"/>
        </w:rPr>
        <w:t>Αζερικοί</w:t>
      </w:r>
      <w:proofErr w:type="spellEnd"/>
      <w:r w:rsidRPr="00846EBA">
        <w:rPr>
          <w:rFonts w:ascii="Verdana" w:hAnsi="Verdana"/>
        </w:rPr>
        <w:t xml:space="preserve"> Σιδηρόδρομοι προμηθεύτηκαν 30 βαγόνια τελευταίας τεχνολογίας -και δη κλινάμαξες- από την ελβετική </w:t>
      </w:r>
      <w:proofErr w:type="spellStart"/>
      <w:r w:rsidRPr="00846EBA">
        <w:rPr>
          <w:rFonts w:ascii="Verdana" w:hAnsi="Verdana"/>
        </w:rPr>
        <w:t>Stadler</w:t>
      </w:r>
      <w:proofErr w:type="spellEnd"/>
      <w:r w:rsidRPr="00846EBA">
        <w:rPr>
          <w:rFonts w:ascii="Verdana" w:hAnsi="Verdana"/>
        </w:rPr>
        <w:t xml:space="preserve"> και 10 ταχείες μηχανές έλξης από τη γαλλική </w:t>
      </w:r>
      <w:proofErr w:type="spellStart"/>
      <w:r w:rsidRPr="00846EBA">
        <w:rPr>
          <w:rFonts w:ascii="Verdana" w:hAnsi="Verdana"/>
        </w:rPr>
        <w:t>Alstom</w:t>
      </w:r>
      <w:proofErr w:type="spellEnd"/>
      <w:r w:rsidRPr="00846EBA">
        <w:rPr>
          <w:rFonts w:ascii="Verdana" w:hAnsi="Verdana"/>
        </w:rPr>
        <w:t xml:space="preserve">. Γενικά η ΒΤΚ αποτελεί ένα από τα σημαντικότερα έργα υποδομής στην περιοχή του Καυκάσου, συναγωνιζόμενη τη θρυλική γραμμή της τσαρικής </w:t>
      </w:r>
      <w:proofErr w:type="spellStart"/>
      <w:r w:rsidRPr="00846EBA">
        <w:rPr>
          <w:rFonts w:ascii="Verdana" w:hAnsi="Verdana"/>
        </w:rPr>
        <w:t>Υπερκαυκασίας</w:t>
      </w:r>
      <w:proofErr w:type="spellEnd"/>
      <w:r w:rsidRPr="00846EBA">
        <w:rPr>
          <w:rFonts w:ascii="Verdana" w:hAnsi="Verdana"/>
        </w:rPr>
        <w:t xml:space="preserve"> Μπακού-</w:t>
      </w:r>
      <w:proofErr w:type="spellStart"/>
      <w:r w:rsidRPr="00846EBA">
        <w:rPr>
          <w:rFonts w:ascii="Verdana" w:hAnsi="Verdana"/>
        </w:rPr>
        <w:t>Βατούμι</w:t>
      </w:r>
      <w:proofErr w:type="spellEnd"/>
      <w:r w:rsidRPr="00846EBA">
        <w:rPr>
          <w:rFonts w:ascii="Verdana" w:hAnsi="Verdana"/>
        </w:rPr>
        <w:t xml:space="preserve">, που ολοκληρώθηκε με δάνειο του οίκου </w:t>
      </w:r>
      <w:r w:rsidRPr="00846EBA">
        <w:rPr>
          <w:rFonts w:ascii="Verdana" w:hAnsi="Verdana"/>
          <w:lang w:val="en-US"/>
        </w:rPr>
        <w:t>Rothschild</w:t>
      </w:r>
      <w:r w:rsidRPr="00846EBA">
        <w:rPr>
          <w:rFonts w:ascii="Verdana" w:hAnsi="Verdana"/>
        </w:rPr>
        <w:t xml:space="preserve"> το 1883 και επέτρεψε για πρώτη φορά στο </w:t>
      </w:r>
      <w:proofErr w:type="spellStart"/>
      <w:r w:rsidRPr="00846EBA">
        <w:rPr>
          <w:rFonts w:ascii="Verdana" w:hAnsi="Verdana"/>
        </w:rPr>
        <w:t>αζερικό</w:t>
      </w:r>
      <w:proofErr w:type="spellEnd"/>
      <w:r w:rsidRPr="00846EBA">
        <w:rPr>
          <w:rFonts w:ascii="Verdana" w:hAnsi="Verdana"/>
        </w:rPr>
        <w:t xml:space="preserve"> αργό να εξαχθεί στις παγκόσμιες αγορές.</w:t>
      </w:r>
    </w:p>
    <w:p w:rsidR="00846EBA" w:rsidRPr="00846EBA" w:rsidRDefault="00846EBA" w:rsidP="00846EBA">
      <w:pPr>
        <w:jc w:val="both"/>
        <w:rPr>
          <w:rFonts w:ascii="Verdana" w:hAnsi="Verdana"/>
        </w:rPr>
      </w:pPr>
      <w:r w:rsidRPr="00846EBA">
        <w:rPr>
          <w:rFonts w:ascii="Verdana" w:hAnsi="Verdana"/>
        </w:rPr>
        <w:t xml:space="preserve">Ένα ακόμη φιλόδοξο πρόγραμμα αναβάθμισης του σιδηροδρομικού δικτύου, αλλά με σαφώς πιο μακροπρόθεσμο ορίζοντα, είναι ο υπό εκπόνηση </w:t>
      </w:r>
      <w:r w:rsidRPr="00846EBA">
        <w:rPr>
          <w:rFonts w:ascii="Verdana" w:hAnsi="Verdana"/>
          <w:b/>
          <w:bCs/>
          <w:i/>
          <w:iCs/>
        </w:rPr>
        <w:t>«Άξονας Βορρά-Νότου»</w:t>
      </w:r>
      <w:r w:rsidRPr="00846EBA">
        <w:rPr>
          <w:rFonts w:ascii="Verdana" w:hAnsi="Verdana"/>
        </w:rPr>
        <w:t xml:space="preserve"> (Ρωσίας-Ιράν-Ινδίας), ο οποίος θα απαιτήσει επενδύσεις, μόνο επί </w:t>
      </w:r>
      <w:proofErr w:type="spellStart"/>
      <w:r w:rsidRPr="00846EBA">
        <w:rPr>
          <w:rFonts w:ascii="Verdana" w:hAnsi="Verdana"/>
        </w:rPr>
        <w:t>αζερικού</w:t>
      </w:r>
      <w:proofErr w:type="spellEnd"/>
      <w:r w:rsidRPr="00846EBA">
        <w:rPr>
          <w:rFonts w:ascii="Verdana" w:hAnsi="Verdana"/>
        </w:rPr>
        <w:t xml:space="preserve"> εδάφους, ύψους 60 δις ΑΖΝ. Σε πλήρη ανάπτυξη, η δυναμικότητά του θα ανέλθει σε 10-15 εκατ. </w:t>
      </w:r>
      <w:proofErr w:type="spellStart"/>
      <w:r w:rsidRPr="00846EBA">
        <w:rPr>
          <w:rFonts w:ascii="Verdana" w:hAnsi="Verdana"/>
        </w:rPr>
        <w:t>τόννους</w:t>
      </w:r>
      <w:proofErr w:type="spellEnd"/>
      <w:r w:rsidRPr="00846EBA">
        <w:rPr>
          <w:rFonts w:ascii="Verdana" w:hAnsi="Verdana"/>
        </w:rPr>
        <w:t xml:space="preserve"> ετησίως και θα μειώσει στο μισό το χρόνο μεταφοράς των αγαθών από τη Βομβάη στη Βαλτική (</w:t>
      </w:r>
      <w:r w:rsidRPr="00846EBA">
        <w:rPr>
          <w:rFonts w:ascii="Verdana" w:hAnsi="Verdana"/>
          <w:i/>
          <w:iCs/>
        </w:rPr>
        <w:t>που σήμερα πραγματοποιείται κατά βάση με πλοία</w:t>
      </w:r>
      <w:r w:rsidRPr="00846EBA">
        <w:rPr>
          <w:rFonts w:ascii="Verdana" w:hAnsi="Verdana"/>
        </w:rPr>
        <w:t>).</w:t>
      </w:r>
    </w:p>
    <w:p w:rsidR="00846EBA" w:rsidRPr="00846EBA" w:rsidRDefault="00846EBA" w:rsidP="00846EBA">
      <w:pPr>
        <w:pStyle w:val="4"/>
        <w:keepLines w:val="0"/>
        <w:numPr>
          <w:ilvl w:val="0"/>
          <w:numId w:val="44"/>
        </w:numPr>
        <w:spacing w:before="240" w:after="60" w:line="240" w:lineRule="auto"/>
        <w:rPr>
          <w:rFonts w:ascii="Verdana" w:hAnsi="Verdana"/>
          <w:color w:val="002060"/>
          <w:sz w:val="24"/>
          <w:szCs w:val="24"/>
        </w:rPr>
      </w:pPr>
      <w:bookmarkStart w:id="15" w:name="_Toc392595494"/>
      <w:r w:rsidRPr="00846EBA">
        <w:rPr>
          <w:rFonts w:ascii="Verdana" w:hAnsi="Verdana"/>
          <w:color w:val="002060"/>
          <w:sz w:val="24"/>
          <w:szCs w:val="24"/>
        </w:rPr>
        <w:t>Αεροπορικό δίκτυο</w:t>
      </w:r>
      <w:bookmarkEnd w:id="15"/>
    </w:p>
    <w:p w:rsidR="00846EBA" w:rsidRPr="00846EBA" w:rsidRDefault="00846EBA" w:rsidP="00846EBA">
      <w:pPr>
        <w:jc w:val="both"/>
        <w:rPr>
          <w:rFonts w:ascii="Verdana" w:hAnsi="Verdana"/>
        </w:rPr>
      </w:pPr>
      <w:r w:rsidRPr="00846EBA">
        <w:rPr>
          <w:rFonts w:ascii="Verdana" w:hAnsi="Verdana"/>
        </w:rPr>
        <w:t xml:space="preserve">Οι </w:t>
      </w:r>
      <w:proofErr w:type="spellStart"/>
      <w:r w:rsidRPr="00846EBA">
        <w:rPr>
          <w:rFonts w:ascii="Verdana" w:hAnsi="Verdana"/>
        </w:rPr>
        <w:t>αζερικές</w:t>
      </w:r>
      <w:proofErr w:type="spellEnd"/>
      <w:r w:rsidRPr="00846EBA">
        <w:rPr>
          <w:rFonts w:ascii="Verdana" w:hAnsi="Verdana"/>
        </w:rPr>
        <w:t xml:space="preserve"> αερογραμμές ή </w:t>
      </w:r>
      <w:r w:rsidRPr="00846EBA">
        <w:rPr>
          <w:rFonts w:ascii="Verdana" w:hAnsi="Verdana"/>
          <w:b/>
          <w:bCs/>
        </w:rPr>
        <w:t>AZAL</w:t>
      </w:r>
      <w:r w:rsidRPr="00846EBA">
        <w:rPr>
          <w:rFonts w:ascii="Verdana" w:hAnsi="Verdana"/>
        </w:rPr>
        <w:t xml:space="preserve"> (</w:t>
      </w:r>
      <w:proofErr w:type="spellStart"/>
      <w:r w:rsidRPr="00846EBA">
        <w:rPr>
          <w:rFonts w:ascii="Verdana" w:hAnsi="Verdana"/>
        </w:rPr>
        <w:t>Azərbaycan</w:t>
      </w:r>
      <w:proofErr w:type="spellEnd"/>
      <w:r w:rsidRPr="00846EBA">
        <w:rPr>
          <w:rFonts w:ascii="Verdana" w:hAnsi="Verdana"/>
        </w:rPr>
        <w:t xml:space="preserve"> </w:t>
      </w:r>
      <w:proofErr w:type="spellStart"/>
      <w:r w:rsidRPr="00846EBA">
        <w:rPr>
          <w:rFonts w:ascii="Verdana" w:hAnsi="Verdana"/>
        </w:rPr>
        <w:t>Hava</w:t>
      </w:r>
      <w:proofErr w:type="spellEnd"/>
      <w:r w:rsidRPr="00846EBA">
        <w:rPr>
          <w:rFonts w:ascii="Verdana" w:hAnsi="Verdana"/>
        </w:rPr>
        <w:t xml:space="preserve"> </w:t>
      </w:r>
      <w:proofErr w:type="spellStart"/>
      <w:r w:rsidRPr="00846EBA">
        <w:rPr>
          <w:rFonts w:ascii="Verdana" w:hAnsi="Verdana"/>
        </w:rPr>
        <w:t>Yolları</w:t>
      </w:r>
      <w:proofErr w:type="spellEnd"/>
      <w:r w:rsidRPr="00846EBA">
        <w:rPr>
          <w:rFonts w:ascii="Verdana" w:hAnsi="Verdana"/>
        </w:rPr>
        <w:t xml:space="preserve"> στα </w:t>
      </w:r>
      <w:proofErr w:type="spellStart"/>
      <w:r w:rsidRPr="00846EBA">
        <w:rPr>
          <w:rFonts w:ascii="Verdana" w:hAnsi="Verdana"/>
        </w:rPr>
        <w:t>αζερικά</w:t>
      </w:r>
      <w:proofErr w:type="spellEnd"/>
      <w:r w:rsidRPr="00846EBA">
        <w:rPr>
          <w:rFonts w:ascii="Verdana" w:hAnsi="Verdana"/>
        </w:rPr>
        <w:t xml:space="preserve">) ανήκουν στην </w:t>
      </w:r>
      <w:proofErr w:type="spellStart"/>
      <w:r w:rsidRPr="00846EBA">
        <w:rPr>
          <w:rFonts w:ascii="Verdana" w:hAnsi="Verdana"/>
        </w:rPr>
        <w:t>Closed</w:t>
      </w:r>
      <w:proofErr w:type="spellEnd"/>
      <w:r w:rsidRPr="00846EBA">
        <w:rPr>
          <w:rFonts w:ascii="Verdana" w:hAnsi="Verdana"/>
        </w:rPr>
        <w:t xml:space="preserve"> Joint </w:t>
      </w:r>
      <w:proofErr w:type="spellStart"/>
      <w:r w:rsidRPr="00846EBA">
        <w:rPr>
          <w:rFonts w:ascii="Verdana" w:hAnsi="Verdana"/>
        </w:rPr>
        <w:t>Stock</w:t>
      </w:r>
      <w:proofErr w:type="spellEnd"/>
      <w:r w:rsidRPr="00846EBA">
        <w:rPr>
          <w:rFonts w:ascii="Verdana" w:hAnsi="Verdana"/>
        </w:rPr>
        <w:t xml:space="preserve"> </w:t>
      </w:r>
      <w:proofErr w:type="spellStart"/>
      <w:r w:rsidRPr="00846EBA">
        <w:rPr>
          <w:rFonts w:ascii="Verdana" w:hAnsi="Verdana"/>
        </w:rPr>
        <w:t>Company</w:t>
      </w:r>
      <w:proofErr w:type="spellEnd"/>
      <w:r w:rsidRPr="00846EBA">
        <w:rPr>
          <w:rFonts w:ascii="Verdana" w:hAnsi="Verdana"/>
        </w:rPr>
        <w:t xml:space="preserve"> «</w:t>
      </w:r>
      <w:proofErr w:type="spellStart"/>
      <w:r w:rsidRPr="00846EBA">
        <w:rPr>
          <w:rFonts w:ascii="Verdana" w:hAnsi="Verdana"/>
        </w:rPr>
        <w:t>Hava</w:t>
      </w:r>
      <w:proofErr w:type="spellEnd"/>
      <w:r w:rsidRPr="00846EBA">
        <w:rPr>
          <w:rFonts w:ascii="Verdana" w:hAnsi="Verdana"/>
        </w:rPr>
        <w:t xml:space="preserve"> </w:t>
      </w:r>
      <w:proofErr w:type="spellStart"/>
      <w:r w:rsidRPr="00846EBA">
        <w:rPr>
          <w:rFonts w:ascii="Verdana" w:hAnsi="Verdana"/>
        </w:rPr>
        <w:t>Yollari</w:t>
      </w:r>
      <w:proofErr w:type="spellEnd"/>
      <w:r w:rsidRPr="00846EBA">
        <w:rPr>
          <w:rFonts w:ascii="Verdana" w:hAnsi="Verdana"/>
        </w:rPr>
        <w:t xml:space="preserve">» και είναι εθνικός αερομεταφορέας. Με έδρα το Μπακού, είναι μέλος της Διεθνούς Ένωσης Αεροπορικών Μεταφορών (IATA). </w:t>
      </w:r>
      <w:r w:rsidR="003A0636">
        <w:rPr>
          <w:rFonts w:ascii="Verdana" w:hAnsi="Verdana"/>
        </w:rPr>
        <w:t>Το 201</w:t>
      </w:r>
      <w:r w:rsidR="003A0636" w:rsidRPr="00E70913">
        <w:rPr>
          <w:rFonts w:ascii="Verdana" w:hAnsi="Verdana"/>
        </w:rPr>
        <w:t>9</w:t>
      </w:r>
      <w:r w:rsidR="003A0636" w:rsidRPr="003A0636">
        <w:rPr>
          <w:rFonts w:ascii="Verdana" w:hAnsi="Verdana"/>
        </w:rPr>
        <w:t xml:space="preserve"> μετέφεραν 2,6</w:t>
      </w:r>
      <w:r w:rsidRPr="003A0636">
        <w:rPr>
          <w:rFonts w:ascii="Verdana" w:hAnsi="Verdana"/>
        </w:rPr>
        <w:t xml:space="preserve"> εκατ. επιβάτες</w:t>
      </w:r>
      <w:r w:rsidRPr="00846EBA">
        <w:rPr>
          <w:rFonts w:ascii="Verdana" w:hAnsi="Verdana"/>
        </w:rPr>
        <w:t xml:space="preserve">, τη συντριπτική μεν πλειοψηφία σε διεθνείς πτήσεις, αλλά και περίπου μισό εκατ. σε πτήσεις εσωτερικού, ιδίως, δε, στον περίκλειστο θύλακα του </w:t>
      </w:r>
      <w:proofErr w:type="spellStart"/>
      <w:r w:rsidRPr="00846EBA">
        <w:rPr>
          <w:rFonts w:ascii="Verdana" w:hAnsi="Verdana"/>
        </w:rPr>
        <w:t>Ναχτσιβάν</w:t>
      </w:r>
      <w:proofErr w:type="spellEnd"/>
      <w:r w:rsidRPr="00846EBA">
        <w:rPr>
          <w:rFonts w:ascii="Verdana" w:hAnsi="Verdana"/>
        </w:rPr>
        <w:t xml:space="preserve"> (με τον οποίο η σύνδεση λαμβάνει χώρα κυρίως αεροπορικώς). Η AZAL καταβάλει συνεχώς προσπάθειες για την αναβάθμιση του στόλου της, ούτως ώστε να μπορέσει να συναγωνιστεί μεγάλες αεροπορικές εταιρείες (</w:t>
      </w:r>
      <w:proofErr w:type="spellStart"/>
      <w:r w:rsidRPr="00846EBA">
        <w:rPr>
          <w:rFonts w:ascii="Verdana" w:hAnsi="Verdana"/>
        </w:rPr>
        <w:t>Turkish</w:t>
      </w:r>
      <w:proofErr w:type="spellEnd"/>
      <w:r w:rsidRPr="00846EBA">
        <w:rPr>
          <w:rFonts w:ascii="Verdana" w:hAnsi="Verdana"/>
        </w:rPr>
        <w:t xml:space="preserve"> </w:t>
      </w:r>
      <w:proofErr w:type="spellStart"/>
      <w:r w:rsidRPr="00846EBA">
        <w:rPr>
          <w:rFonts w:ascii="Verdana" w:hAnsi="Verdana"/>
        </w:rPr>
        <w:t>Airlines</w:t>
      </w:r>
      <w:proofErr w:type="spellEnd"/>
      <w:r w:rsidRPr="00846EBA">
        <w:rPr>
          <w:rFonts w:ascii="Verdana" w:hAnsi="Verdana"/>
        </w:rPr>
        <w:t xml:space="preserve">, </w:t>
      </w:r>
      <w:proofErr w:type="spellStart"/>
      <w:r w:rsidRPr="00846EBA">
        <w:rPr>
          <w:rFonts w:ascii="Verdana" w:hAnsi="Verdana"/>
        </w:rPr>
        <w:t>Lufthansa</w:t>
      </w:r>
      <w:proofErr w:type="spellEnd"/>
      <w:r w:rsidRPr="00846EBA">
        <w:rPr>
          <w:rFonts w:ascii="Verdana" w:hAnsi="Verdana"/>
        </w:rPr>
        <w:t xml:space="preserve">, </w:t>
      </w:r>
      <w:proofErr w:type="spellStart"/>
      <w:r w:rsidRPr="00846EBA">
        <w:rPr>
          <w:rFonts w:ascii="Verdana" w:hAnsi="Verdana"/>
        </w:rPr>
        <w:t>Aeroflot</w:t>
      </w:r>
      <w:proofErr w:type="spellEnd"/>
      <w:r w:rsidRPr="00846EBA">
        <w:rPr>
          <w:rFonts w:ascii="Verdana" w:hAnsi="Verdana"/>
        </w:rPr>
        <w:t xml:space="preserve"> κλπ), οι οποίες πραγματοποιούν πτήσεις προς Μπακού. Λειτουργεί επιβατικές πτήσεις προς Ευρώπη, ΚΑΚ, Μέση Ανατολή, Ασία και </w:t>
      </w:r>
      <w:proofErr w:type="spellStart"/>
      <w:r w:rsidRPr="00846EBA">
        <w:rPr>
          <w:rFonts w:ascii="Verdana" w:hAnsi="Verdana"/>
        </w:rPr>
        <w:t>Β.Αμερική</w:t>
      </w:r>
      <w:proofErr w:type="spellEnd"/>
      <w:r w:rsidRPr="00846EBA">
        <w:rPr>
          <w:rFonts w:ascii="Verdana" w:hAnsi="Verdana"/>
        </w:rPr>
        <w:t xml:space="preserve">. Το 2014, προέβη στην αγορά </w:t>
      </w:r>
      <w:proofErr w:type="spellStart"/>
      <w:r w:rsidRPr="00846EBA">
        <w:rPr>
          <w:rFonts w:ascii="Verdana" w:hAnsi="Verdana"/>
        </w:rPr>
        <w:t>Boeing</w:t>
      </w:r>
      <w:proofErr w:type="spellEnd"/>
      <w:r w:rsidRPr="00846EBA">
        <w:rPr>
          <w:rFonts w:ascii="Verdana" w:hAnsi="Verdana"/>
        </w:rPr>
        <w:t xml:space="preserve"> 787 </w:t>
      </w:r>
      <w:proofErr w:type="spellStart"/>
      <w:r w:rsidRPr="00846EBA">
        <w:rPr>
          <w:rFonts w:ascii="Verdana" w:hAnsi="Verdana"/>
        </w:rPr>
        <w:t>Dreamliner</w:t>
      </w:r>
      <w:proofErr w:type="spellEnd"/>
      <w:r w:rsidRPr="00846EBA">
        <w:rPr>
          <w:rFonts w:ascii="Verdana" w:hAnsi="Verdana"/>
        </w:rPr>
        <w:t xml:space="preserve"> για πτήσεις μεγάλων αποστάσεων</w:t>
      </w:r>
      <w:r w:rsidRPr="00846EBA">
        <w:rPr>
          <w:rFonts w:ascii="Verdana" w:hAnsi="Verdana"/>
          <w:color w:val="000000"/>
        </w:rPr>
        <w:t>.</w:t>
      </w:r>
    </w:p>
    <w:p w:rsidR="00846EBA" w:rsidRPr="00846EBA" w:rsidRDefault="00846EBA" w:rsidP="00846EBA">
      <w:pPr>
        <w:jc w:val="both"/>
        <w:rPr>
          <w:rFonts w:ascii="Verdana" w:hAnsi="Verdana"/>
        </w:rPr>
      </w:pPr>
      <w:r w:rsidRPr="00846EBA">
        <w:rPr>
          <w:rFonts w:ascii="Verdana" w:hAnsi="Verdana"/>
        </w:rPr>
        <w:lastRenderedPageBreak/>
        <w:t xml:space="preserve">Ως βάση οι </w:t>
      </w:r>
      <w:proofErr w:type="spellStart"/>
      <w:r w:rsidRPr="00846EBA">
        <w:rPr>
          <w:rFonts w:ascii="Verdana" w:hAnsi="Verdana"/>
        </w:rPr>
        <w:t>αζερικές</w:t>
      </w:r>
      <w:proofErr w:type="spellEnd"/>
      <w:r w:rsidRPr="00846EBA">
        <w:rPr>
          <w:rFonts w:ascii="Verdana" w:hAnsi="Verdana"/>
        </w:rPr>
        <w:t xml:space="preserve"> αερογραμμές έχουν </w:t>
      </w:r>
      <w:r w:rsidRPr="00BD3CF2">
        <w:rPr>
          <w:rFonts w:ascii="Verdana" w:hAnsi="Verdana"/>
          <w:b/>
        </w:rPr>
        <w:t xml:space="preserve">το διεθνές αεροδρόμιο </w:t>
      </w:r>
      <w:r w:rsidRPr="00BD3CF2">
        <w:rPr>
          <w:rFonts w:ascii="Verdana" w:hAnsi="Verdana"/>
          <w:b/>
          <w:lang w:val="az-Latn-AZ"/>
        </w:rPr>
        <w:t xml:space="preserve">Heydar </w:t>
      </w:r>
      <w:r w:rsidRPr="00BD3CF2">
        <w:rPr>
          <w:rFonts w:ascii="Verdana" w:hAnsi="Verdana"/>
          <w:b/>
        </w:rPr>
        <w:t>Α</w:t>
      </w:r>
      <w:r w:rsidRPr="00BD3CF2">
        <w:rPr>
          <w:rFonts w:ascii="Verdana" w:hAnsi="Verdana"/>
          <w:b/>
          <w:lang w:val="az-Latn-AZ"/>
        </w:rPr>
        <w:t xml:space="preserve">liyev </w:t>
      </w:r>
      <w:r w:rsidRPr="00BD3CF2">
        <w:rPr>
          <w:rFonts w:ascii="Verdana" w:hAnsi="Verdana"/>
          <w:b/>
        </w:rPr>
        <w:t>(κωδικός ΙΑΤΑ: GYD)</w:t>
      </w:r>
      <w:r w:rsidRPr="00846EBA">
        <w:rPr>
          <w:rFonts w:ascii="Verdana" w:hAnsi="Verdana"/>
        </w:rPr>
        <w:t xml:space="preserve"> 20 χλμ. βόρειο-ανατολικά του Μπακού. Ο GYD κα</w:t>
      </w:r>
      <w:r w:rsidR="000F0336">
        <w:rPr>
          <w:rFonts w:ascii="Verdana" w:hAnsi="Verdana"/>
        </w:rPr>
        <w:t>τέγραψε ιστορική επίδοση το 201</w:t>
      </w:r>
      <w:r w:rsidR="000F0336" w:rsidRPr="000F0336">
        <w:rPr>
          <w:rFonts w:ascii="Verdana" w:hAnsi="Verdana"/>
        </w:rPr>
        <w:t>9</w:t>
      </w:r>
      <w:r w:rsidRPr="00846EBA">
        <w:rPr>
          <w:rFonts w:ascii="Verdana" w:hAnsi="Verdana"/>
        </w:rPr>
        <w:t xml:space="preserve"> με συνολική επιβατική κίνηση 4.</w:t>
      </w:r>
      <w:r w:rsidR="002C7FF0" w:rsidRPr="002C7FF0">
        <w:rPr>
          <w:rFonts w:ascii="Verdana" w:hAnsi="Verdana"/>
        </w:rPr>
        <w:t>730</w:t>
      </w:r>
      <w:r w:rsidR="002C7FF0">
        <w:rPr>
          <w:rFonts w:ascii="Verdana" w:hAnsi="Verdana"/>
        </w:rPr>
        <w:t xml:space="preserve">.000 επιβάτες, δηλαδή άνοδο </w:t>
      </w:r>
      <w:r w:rsidR="002C7FF0" w:rsidRPr="002C7FF0">
        <w:rPr>
          <w:rFonts w:ascii="Verdana" w:hAnsi="Verdana"/>
        </w:rPr>
        <w:t>7</w:t>
      </w:r>
      <w:r w:rsidR="002C7FF0">
        <w:rPr>
          <w:rFonts w:ascii="Verdana" w:hAnsi="Verdana"/>
        </w:rPr>
        <w:t>% σε σχέση με το 201</w:t>
      </w:r>
      <w:r w:rsidR="002C7FF0" w:rsidRPr="002C7FF0">
        <w:rPr>
          <w:rFonts w:ascii="Verdana" w:hAnsi="Verdana"/>
        </w:rPr>
        <w:t>8</w:t>
      </w:r>
      <w:r w:rsidRPr="00846EBA">
        <w:rPr>
          <w:rFonts w:ascii="Verdana" w:hAnsi="Verdana"/>
        </w:rPr>
        <w:t>. Πλην της AZAL, υπάρχει επίσης η εταιρεία «</w:t>
      </w:r>
      <w:proofErr w:type="spellStart"/>
      <w:r w:rsidRPr="00846EBA">
        <w:rPr>
          <w:rFonts w:ascii="Verdana" w:hAnsi="Verdana"/>
        </w:rPr>
        <w:t>cargo</w:t>
      </w:r>
      <w:proofErr w:type="spellEnd"/>
      <w:r w:rsidRPr="00846EBA">
        <w:rPr>
          <w:rFonts w:ascii="Verdana" w:hAnsi="Verdana"/>
        </w:rPr>
        <w:t xml:space="preserve">» </w:t>
      </w:r>
      <w:proofErr w:type="spellStart"/>
      <w:r w:rsidRPr="00846EBA">
        <w:rPr>
          <w:rFonts w:ascii="Verdana" w:hAnsi="Verdana"/>
          <w:b/>
          <w:bCs/>
        </w:rPr>
        <w:t>Silk</w:t>
      </w:r>
      <w:proofErr w:type="spellEnd"/>
      <w:r w:rsidRPr="00846EBA">
        <w:rPr>
          <w:rFonts w:ascii="Verdana" w:hAnsi="Verdana"/>
          <w:b/>
          <w:bCs/>
        </w:rPr>
        <w:t xml:space="preserve"> </w:t>
      </w:r>
      <w:proofErr w:type="spellStart"/>
      <w:r w:rsidRPr="00846EBA">
        <w:rPr>
          <w:rFonts w:ascii="Verdana" w:hAnsi="Verdana"/>
          <w:b/>
          <w:bCs/>
        </w:rPr>
        <w:t>Way</w:t>
      </w:r>
      <w:proofErr w:type="spellEnd"/>
      <w:r w:rsidRPr="00846EBA">
        <w:rPr>
          <w:rFonts w:ascii="Verdana" w:hAnsi="Verdana"/>
          <w:b/>
          <w:bCs/>
        </w:rPr>
        <w:t xml:space="preserve"> </w:t>
      </w:r>
      <w:proofErr w:type="spellStart"/>
      <w:r w:rsidRPr="00846EBA">
        <w:rPr>
          <w:rFonts w:ascii="Verdana" w:hAnsi="Verdana"/>
          <w:b/>
          <w:bCs/>
        </w:rPr>
        <w:t>Airlines</w:t>
      </w:r>
      <w:proofErr w:type="spellEnd"/>
      <w:r w:rsidRPr="00846EBA">
        <w:rPr>
          <w:rFonts w:ascii="Verdana" w:hAnsi="Verdana"/>
        </w:rPr>
        <w:t xml:space="preserve">, η οποία, εκτός από ρωσικά μεταγωγικά An-12 και Il-76, έχει πρόσφατα αγοράσει και 14 γιγαντιαία Jumbo </w:t>
      </w:r>
      <w:proofErr w:type="spellStart"/>
      <w:r w:rsidRPr="00846EBA">
        <w:rPr>
          <w:rFonts w:ascii="Verdana" w:hAnsi="Verdana"/>
        </w:rPr>
        <w:t>Jet</w:t>
      </w:r>
      <w:proofErr w:type="spellEnd"/>
      <w:r w:rsidRPr="00846EBA">
        <w:rPr>
          <w:rFonts w:ascii="Verdana" w:hAnsi="Verdana"/>
        </w:rPr>
        <w:t xml:space="preserve"> </w:t>
      </w:r>
      <w:proofErr w:type="spellStart"/>
      <w:r w:rsidRPr="00846EBA">
        <w:rPr>
          <w:rFonts w:ascii="Verdana" w:hAnsi="Verdana"/>
        </w:rPr>
        <w:t>Boeing</w:t>
      </w:r>
      <w:proofErr w:type="spellEnd"/>
      <w:r w:rsidRPr="00846EBA">
        <w:rPr>
          <w:rFonts w:ascii="Verdana" w:hAnsi="Verdana"/>
        </w:rPr>
        <w:t xml:space="preserve"> 747, με μεταφορική ικανότητα 134 τόνους έκαστο. Επίσης θα είναι ο πρώτος πελάτης παγκοσμίως του ουκρανικού </w:t>
      </w:r>
      <w:proofErr w:type="spellStart"/>
      <w:r w:rsidRPr="00846EBA">
        <w:rPr>
          <w:rFonts w:ascii="Verdana" w:hAnsi="Verdana"/>
        </w:rPr>
        <w:t>Antonov</w:t>
      </w:r>
      <w:proofErr w:type="spellEnd"/>
      <w:r w:rsidRPr="00846EBA">
        <w:rPr>
          <w:rFonts w:ascii="Verdana" w:hAnsi="Verdana"/>
        </w:rPr>
        <w:t xml:space="preserve"> An-178 (παραγγελία 10 Α/Φ).</w:t>
      </w:r>
      <w:r w:rsidRPr="00846EBA">
        <w:rPr>
          <w:rFonts w:ascii="Verdana" w:hAnsi="Verdana"/>
          <w:color w:val="000000"/>
        </w:rPr>
        <w:t xml:space="preserve">  </w:t>
      </w:r>
      <w:r w:rsidRPr="00846EBA">
        <w:rPr>
          <w:rFonts w:ascii="Verdana" w:hAnsi="Verdana"/>
        </w:rPr>
        <w:t xml:space="preserve">Την 1/9/2017 ξεκίνησε η λειτουργία και της χαμηλού κόστους θυγατρικής της AZAL, </w:t>
      </w:r>
      <w:proofErr w:type="spellStart"/>
      <w:r w:rsidRPr="00846EBA">
        <w:rPr>
          <w:rFonts w:ascii="Verdana" w:hAnsi="Verdana"/>
          <w:b/>
          <w:bCs/>
        </w:rPr>
        <w:t>Buta</w:t>
      </w:r>
      <w:proofErr w:type="spellEnd"/>
      <w:r w:rsidRPr="00846EBA">
        <w:rPr>
          <w:rFonts w:ascii="Verdana" w:hAnsi="Verdana"/>
          <w:b/>
          <w:bCs/>
        </w:rPr>
        <w:t xml:space="preserve"> </w:t>
      </w:r>
      <w:proofErr w:type="spellStart"/>
      <w:r w:rsidRPr="00846EBA">
        <w:rPr>
          <w:rFonts w:ascii="Verdana" w:hAnsi="Verdana"/>
          <w:b/>
          <w:bCs/>
        </w:rPr>
        <w:t>Airways</w:t>
      </w:r>
      <w:proofErr w:type="spellEnd"/>
      <w:r w:rsidRPr="00846EBA">
        <w:rPr>
          <w:rFonts w:ascii="Verdana" w:hAnsi="Verdana"/>
        </w:rPr>
        <w:t xml:space="preserve">. Χρησιμοποιώντας μόνο αεροσκάφη </w:t>
      </w:r>
      <w:proofErr w:type="spellStart"/>
      <w:r w:rsidRPr="00846EBA">
        <w:rPr>
          <w:rFonts w:ascii="Verdana" w:hAnsi="Verdana"/>
        </w:rPr>
        <w:t>Embraer</w:t>
      </w:r>
      <w:proofErr w:type="spellEnd"/>
      <w:r w:rsidRPr="00846EBA">
        <w:rPr>
          <w:rFonts w:ascii="Verdana" w:hAnsi="Verdana"/>
        </w:rPr>
        <w:t xml:space="preserve"> ERJ-190, βραζιλιάνικης κατασκευής, εξυπηρετεί καταρχήν τη Ρωσία, όπου ζει το μεγαλύτερο μέρος της </w:t>
      </w:r>
      <w:proofErr w:type="spellStart"/>
      <w:r w:rsidRPr="00846EBA">
        <w:rPr>
          <w:rFonts w:ascii="Verdana" w:hAnsi="Verdana"/>
        </w:rPr>
        <w:t>αζερικής</w:t>
      </w:r>
      <w:proofErr w:type="spellEnd"/>
      <w:r w:rsidRPr="00846EBA">
        <w:rPr>
          <w:rFonts w:ascii="Verdana" w:hAnsi="Verdana"/>
        </w:rPr>
        <w:t xml:space="preserve"> διασποράς, και δευτερευόντως Τουρκία, Ιράν, Ουκρανία και Γεωργία. Ο μοναδικός μέχρι στιγμής ευρωπαϊκός προορισμός της </w:t>
      </w:r>
      <w:proofErr w:type="spellStart"/>
      <w:r w:rsidRPr="00846EBA">
        <w:rPr>
          <w:rFonts w:ascii="Verdana" w:hAnsi="Verdana"/>
        </w:rPr>
        <w:t>Buta</w:t>
      </w:r>
      <w:proofErr w:type="spellEnd"/>
      <w:r w:rsidRPr="00846EBA">
        <w:rPr>
          <w:rFonts w:ascii="Verdana" w:hAnsi="Verdana"/>
        </w:rPr>
        <w:t xml:space="preserve"> (κάθε Τρίτη) είναι η Σόφια, από τον Ιανουάριο του 2018. </w:t>
      </w:r>
    </w:p>
    <w:p w:rsidR="00846EBA" w:rsidRPr="00846EBA" w:rsidRDefault="00846EBA" w:rsidP="00846EBA">
      <w:pPr>
        <w:jc w:val="both"/>
        <w:rPr>
          <w:rFonts w:ascii="Verdana" w:hAnsi="Verdana"/>
        </w:rPr>
      </w:pPr>
      <w:r w:rsidRPr="00846EBA">
        <w:rPr>
          <w:rFonts w:ascii="Verdana" w:hAnsi="Verdana"/>
        </w:rPr>
        <w:t xml:space="preserve">Προς την Ελλάδα, δεν υπάρχει τα τελευταία </w:t>
      </w:r>
      <w:r w:rsidR="00BD3CF2">
        <w:rPr>
          <w:rFonts w:ascii="Verdana" w:hAnsi="Verdana"/>
        </w:rPr>
        <w:t xml:space="preserve">έξι </w:t>
      </w:r>
      <w:r w:rsidRPr="00846EBA">
        <w:rPr>
          <w:rFonts w:ascii="Verdana" w:hAnsi="Verdana"/>
        </w:rPr>
        <w:t xml:space="preserve">έτη (μετά το 2013) απευθείας αεροπορική σύνδεση. Υπενθυμίζουμε ότι από τα τέλη Μαΐου 2013 και έως το Σεπτέμβριο του 2013 λειτούργησε η τελευταία απευθείας πτήση μεταξύ Αθηνών και Μπακού -δύο φορές την εβδομάδα- από την ελληνική αεροπορική εταιρεία Aegean </w:t>
      </w:r>
      <w:proofErr w:type="spellStart"/>
      <w:r w:rsidRPr="00846EBA">
        <w:rPr>
          <w:rFonts w:ascii="Verdana" w:hAnsi="Verdana"/>
        </w:rPr>
        <w:t>Airlines</w:t>
      </w:r>
      <w:proofErr w:type="spellEnd"/>
      <w:r w:rsidRPr="00846EBA">
        <w:rPr>
          <w:rFonts w:ascii="Verdana" w:hAnsi="Verdana"/>
        </w:rPr>
        <w:t>. Λόγω περιορισμένου αριθμού επιβατών, δεν επαναλήφθηκε έκτοτε (μόνο το θέρος του 2014 υπήρξε για μικρό διάστημα πτήση “</w:t>
      </w:r>
      <w:proofErr w:type="spellStart"/>
      <w:r w:rsidRPr="00846EBA">
        <w:rPr>
          <w:rFonts w:ascii="Verdana" w:hAnsi="Verdana"/>
        </w:rPr>
        <w:t>charter</w:t>
      </w:r>
      <w:proofErr w:type="spellEnd"/>
      <w:r w:rsidRPr="00846EBA">
        <w:rPr>
          <w:rFonts w:ascii="Verdana" w:hAnsi="Verdana"/>
        </w:rPr>
        <w:t xml:space="preserve">” Μπακού-Ρόδος, επίσης με την Aegean </w:t>
      </w:r>
      <w:proofErr w:type="spellStart"/>
      <w:r w:rsidRPr="00846EBA">
        <w:rPr>
          <w:rFonts w:ascii="Verdana" w:hAnsi="Verdana"/>
        </w:rPr>
        <w:t>Airlines</w:t>
      </w:r>
      <w:proofErr w:type="spellEnd"/>
      <w:r w:rsidRPr="00846EBA">
        <w:rPr>
          <w:rFonts w:ascii="Verdana" w:hAnsi="Verdana"/>
        </w:rPr>
        <w:t>).</w:t>
      </w:r>
    </w:p>
    <w:p w:rsidR="00846EBA" w:rsidRPr="00846EBA" w:rsidRDefault="00846EBA" w:rsidP="00846EBA">
      <w:pPr>
        <w:pStyle w:val="4"/>
        <w:keepLines w:val="0"/>
        <w:numPr>
          <w:ilvl w:val="0"/>
          <w:numId w:val="44"/>
        </w:numPr>
        <w:spacing w:before="240" w:after="60" w:line="240" w:lineRule="auto"/>
        <w:rPr>
          <w:rFonts w:ascii="Verdana" w:hAnsi="Verdana"/>
          <w:color w:val="002060"/>
          <w:sz w:val="24"/>
          <w:szCs w:val="24"/>
        </w:rPr>
      </w:pPr>
      <w:bookmarkStart w:id="16" w:name="_Toc392595495"/>
      <w:r w:rsidRPr="00846EBA">
        <w:rPr>
          <w:rFonts w:ascii="Verdana" w:hAnsi="Verdana"/>
          <w:color w:val="002060"/>
          <w:sz w:val="24"/>
          <w:szCs w:val="24"/>
        </w:rPr>
        <w:t>Θαλάσσιες μεταφορές</w:t>
      </w:r>
      <w:bookmarkEnd w:id="16"/>
    </w:p>
    <w:p w:rsidR="00846EBA" w:rsidRPr="00846EBA" w:rsidRDefault="00846EBA" w:rsidP="00846EBA">
      <w:pPr>
        <w:jc w:val="both"/>
        <w:rPr>
          <w:rFonts w:ascii="Verdana" w:hAnsi="Verdana"/>
        </w:rPr>
      </w:pPr>
      <w:r w:rsidRPr="00846EBA">
        <w:rPr>
          <w:rFonts w:ascii="Verdana" w:hAnsi="Verdana"/>
        </w:rPr>
        <w:t xml:space="preserve">Το Αζερμπαϊτζάν έχει άμεσες θαλάσσιες συνδέσεις μόνο με τα άλλα κράτη της Κασπίας. Εντούτοις, το κανάλι Βόλγα-Ντον παρέχει πρόσβαση στην Αζοφική και στις υπόλοιπες θάλασσες. Η μεταφορά φορτίων, κυρίως αργού πετρελαίου και λοιπών προϊόντων πετρελαίου αποτελεί την κύρια δραστηριότητα. Δεσπόζουσα ναυτιλιακή εταιρεία της χώρας είναι η κρατική </w:t>
      </w:r>
      <w:proofErr w:type="spellStart"/>
      <w:r w:rsidRPr="00846EBA">
        <w:rPr>
          <w:rFonts w:ascii="Verdana" w:hAnsi="Verdana"/>
          <w:b/>
          <w:bCs/>
          <w:i/>
          <w:iCs/>
        </w:rPr>
        <w:t>Caspian</w:t>
      </w:r>
      <w:proofErr w:type="spellEnd"/>
      <w:r w:rsidRPr="00846EBA">
        <w:rPr>
          <w:rFonts w:ascii="Verdana" w:hAnsi="Verdana"/>
          <w:b/>
          <w:bCs/>
          <w:i/>
          <w:iCs/>
        </w:rPr>
        <w:t xml:space="preserve"> Shipping </w:t>
      </w:r>
      <w:proofErr w:type="spellStart"/>
      <w:r w:rsidRPr="00846EBA">
        <w:rPr>
          <w:rFonts w:ascii="Verdana" w:hAnsi="Verdana"/>
          <w:b/>
          <w:bCs/>
          <w:i/>
          <w:iCs/>
        </w:rPr>
        <w:t>Compa</w:t>
      </w:r>
      <w:r w:rsidRPr="00846EBA">
        <w:rPr>
          <w:rFonts w:ascii="Verdana" w:hAnsi="Verdana"/>
          <w:i/>
          <w:iCs/>
        </w:rPr>
        <w:t>ny</w:t>
      </w:r>
      <w:proofErr w:type="spellEnd"/>
      <w:r w:rsidRPr="00846EBA">
        <w:rPr>
          <w:rFonts w:ascii="Verdana" w:hAnsi="Verdana"/>
        </w:rPr>
        <w:t xml:space="preserve">, η οποία προέκυψε από συγχώνευση δύο προγενέστερων εταιρειών με το Π.Δ. 213 του 2014.  Ο Διεθνής Λιμένας του Μπακού  είναι μεν ο μεγαλύτερος λιμένας της Κασπίας θάλασσας, δεν ανταποκρίνεται όμως πλέον στις σύγχρονες απαιτήσεις. </w:t>
      </w:r>
    </w:p>
    <w:p w:rsidR="00846EBA" w:rsidRPr="00846EBA" w:rsidRDefault="00846EBA" w:rsidP="00846EBA">
      <w:pPr>
        <w:jc w:val="both"/>
        <w:rPr>
          <w:rFonts w:ascii="Verdana" w:hAnsi="Verdana"/>
        </w:rPr>
      </w:pPr>
      <w:r w:rsidRPr="00846EBA">
        <w:rPr>
          <w:rFonts w:ascii="Verdana" w:hAnsi="Verdana"/>
        </w:rPr>
        <w:t xml:space="preserve">Τη δεκαετία του 2010 δρομολογήθηκε  η </w:t>
      </w:r>
      <w:r w:rsidRPr="00846EBA">
        <w:rPr>
          <w:rFonts w:ascii="Verdana" w:hAnsi="Verdana"/>
          <w:b/>
          <w:bCs/>
        </w:rPr>
        <w:t>κατασκευή ενός</w:t>
      </w:r>
      <w:r w:rsidRPr="00846EBA">
        <w:rPr>
          <w:rFonts w:ascii="Verdana" w:hAnsi="Verdana"/>
        </w:rPr>
        <w:t xml:space="preserve"> </w:t>
      </w:r>
      <w:r w:rsidRPr="00846EBA">
        <w:rPr>
          <w:rFonts w:ascii="Verdana" w:hAnsi="Verdana"/>
          <w:b/>
          <w:bCs/>
        </w:rPr>
        <w:t>νέου λιμένος</w:t>
      </w:r>
      <w:r w:rsidRPr="00846EBA">
        <w:rPr>
          <w:rFonts w:ascii="Verdana" w:hAnsi="Verdana"/>
        </w:rPr>
        <w:t xml:space="preserve"> 60 </w:t>
      </w:r>
      <w:proofErr w:type="spellStart"/>
      <w:r w:rsidRPr="00846EBA">
        <w:rPr>
          <w:rFonts w:ascii="Verdana" w:hAnsi="Verdana"/>
        </w:rPr>
        <w:t>χλμ</w:t>
      </w:r>
      <w:proofErr w:type="spellEnd"/>
      <w:r w:rsidRPr="00846EBA">
        <w:rPr>
          <w:rFonts w:ascii="Verdana" w:hAnsi="Verdana"/>
        </w:rPr>
        <w:t xml:space="preserve"> νοτίως του Μπακού (περιοχή </w:t>
      </w:r>
      <w:proofErr w:type="spellStart"/>
      <w:r w:rsidRPr="00846EBA">
        <w:rPr>
          <w:rFonts w:ascii="Verdana" w:hAnsi="Verdana"/>
        </w:rPr>
        <w:t>Αλάτ</w:t>
      </w:r>
      <w:proofErr w:type="spellEnd"/>
      <w:r w:rsidRPr="00846EBA">
        <w:rPr>
          <w:rFonts w:ascii="Verdana" w:hAnsi="Verdana"/>
        </w:rPr>
        <w:t xml:space="preserve">). Ο θεμέλιος λίθος ετέθη από τον ίδιο τον Πρόεδρο Αλίγιεφ το φθινόπωρο του 2011. Στη συνέχεια, η κατασκευαστική εταιρεία </w:t>
      </w:r>
      <w:proofErr w:type="spellStart"/>
      <w:r w:rsidRPr="00846EBA">
        <w:rPr>
          <w:rFonts w:ascii="Verdana" w:hAnsi="Verdana"/>
        </w:rPr>
        <w:t>Euroasiya</w:t>
      </w:r>
      <w:proofErr w:type="spellEnd"/>
      <w:r w:rsidRPr="00846EBA">
        <w:rPr>
          <w:rFonts w:ascii="Verdana" w:hAnsi="Verdana"/>
        </w:rPr>
        <w:t xml:space="preserve"> Construction OJC ανέλαβε να υλοποιήσει την πρώτη από τις τρεις συνολικά φάσεις κατασκευής του ίδιου του λιμένα, υπό την επίβλεψη της STFA-ECAP. Η σύμβαση, διάρκειας 38 μηνών και ύψους 736 εκ. USD, υπεγράφη τον Οκτώβριο του 2012 και προέβλεπε παράδοση της πρώτης φάσης στο τέλος του 2015, αν και τελικά αυτή ολοκληρώθηκε μόλις το Μάιο του 2018. Σε επίπεδο πρώτης φάσης, μπορεί να δέχεται 50-100.000 TEU και 10 εκατ. τόνους φορτίου ετησίως, ενώ σε πλήρη ανάπτυξη (</w:t>
      </w:r>
      <w:r w:rsidRPr="00846EBA">
        <w:rPr>
          <w:rFonts w:ascii="Verdana" w:hAnsi="Verdana"/>
          <w:i/>
          <w:iCs/>
        </w:rPr>
        <w:t>δεκαετία 2020</w:t>
      </w:r>
      <w:r w:rsidRPr="00846EBA">
        <w:rPr>
          <w:rFonts w:ascii="Verdana" w:hAnsi="Verdana"/>
        </w:rPr>
        <w:t xml:space="preserve">) η δυναμικότητά του θα ανέλθει σε 1 εκ. TEU και 25 εκατ. τόνους φορτίου. Επίσης το 2016 υπεγράφη Π.Δ. που προβλέπει τη δημιουργία Ζώνης Ελευθέρου Εμπορίου (Free Trade </w:t>
      </w:r>
      <w:proofErr w:type="spellStart"/>
      <w:r w:rsidRPr="00846EBA">
        <w:rPr>
          <w:rFonts w:ascii="Verdana" w:hAnsi="Verdana"/>
        </w:rPr>
        <w:t>Zone</w:t>
      </w:r>
      <w:proofErr w:type="spellEnd"/>
      <w:r w:rsidRPr="00846EBA">
        <w:rPr>
          <w:rFonts w:ascii="Verdana" w:hAnsi="Verdana"/>
        </w:rPr>
        <w:t xml:space="preserve">) γύρω από το νέο λιμένα του </w:t>
      </w:r>
      <w:proofErr w:type="spellStart"/>
      <w:r w:rsidRPr="00846EBA">
        <w:rPr>
          <w:rFonts w:ascii="Verdana" w:hAnsi="Verdana"/>
        </w:rPr>
        <w:t>Αλάτ</w:t>
      </w:r>
      <w:proofErr w:type="spellEnd"/>
      <w:r w:rsidRPr="00846EBA">
        <w:rPr>
          <w:rFonts w:ascii="Verdana" w:hAnsi="Verdana"/>
        </w:rPr>
        <w:t xml:space="preserve">. </w:t>
      </w:r>
    </w:p>
    <w:p w:rsidR="00846EBA" w:rsidRPr="00846EBA" w:rsidRDefault="00846EBA" w:rsidP="00846EBA">
      <w:pPr>
        <w:rPr>
          <w:rFonts w:ascii="Verdana" w:hAnsi="Verdana"/>
          <w:b/>
          <w:color w:val="002060"/>
          <w:sz w:val="24"/>
          <w:szCs w:val="24"/>
        </w:rPr>
      </w:pPr>
      <w:r w:rsidRPr="00846EBA">
        <w:rPr>
          <w:rFonts w:ascii="Verdana" w:hAnsi="Verdana"/>
          <w:b/>
          <w:color w:val="002060"/>
          <w:sz w:val="24"/>
          <w:szCs w:val="24"/>
        </w:rPr>
        <w:lastRenderedPageBreak/>
        <w:t>3.5. ΤΡΑΠΕΖΙΚΟ ΣΥΣΤΗΜΑ</w:t>
      </w:r>
    </w:p>
    <w:p w:rsidR="00846EBA" w:rsidRPr="00846EBA" w:rsidRDefault="00846EBA" w:rsidP="00846EBA">
      <w:pPr>
        <w:jc w:val="both"/>
        <w:rPr>
          <w:rFonts w:ascii="Verdana" w:hAnsi="Verdana"/>
        </w:rPr>
      </w:pPr>
      <w:r w:rsidRPr="00846EBA">
        <w:rPr>
          <w:rFonts w:ascii="Verdana" w:hAnsi="Verdana"/>
        </w:rPr>
        <w:t xml:space="preserve">Η αύξηση των εισοδημάτων του πληθυσμού, οι βελτιώσεις στο νομικό καθεστώς που αφορά στην προστασία των πιστωτών και των δανειζόμενων και ειδικότερα η δημιουργία </w:t>
      </w:r>
      <w:r w:rsidRPr="00846EBA">
        <w:rPr>
          <w:rFonts w:ascii="Verdana" w:hAnsi="Verdana"/>
          <w:i/>
          <w:iCs/>
        </w:rPr>
        <w:t xml:space="preserve">«Ταμείου Ασφάλισης Καταθέσεων» </w:t>
      </w:r>
      <w:r w:rsidRPr="00846EBA">
        <w:rPr>
          <w:rFonts w:ascii="Verdana" w:hAnsi="Verdana"/>
        </w:rPr>
        <w:t xml:space="preserve">-με όριο εγγυημένων καταθέσεων τα 30.000 ΑΖΝ ανά τράπεζα και ανά καταθέτη- οδήγησε σε αύξηση των καταθέσεων μέχρι το 2015, οι οποίες, όμως, παραμένουν πολύ χαμηλές σε σχέση με χώρες ανάλογου πληθυσμιακού μεγέθους. Χρηματιστήριο Αξιών ουσιαστικά δεν υπάρχει στη χώρα, καθώς όλες οι μεγάλες επιχειρήσεις ανήκουν στην ελίτ και δεν είναι εισηγμένες. </w:t>
      </w:r>
    </w:p>
    <w:p w:rsidR="00846EBA" w:rsidRPr="00846EBA" w:rsidRDefault="00846EBA" w:rsidP="00846EBA">
      <w:pPr>
        <w:jc w:val="both"/>
        <w:rPr>
          <w:rFonts w:ascii="Verdana" w:hAnsi="Verdana"/>
        </w:rPr>
      </w:pPr>
      <w:r w:rsidRPr="00846EBA">
        <w:rPr>
          <w:rFonts w:ascii="Verdana" w:hAnsi="Verdana"/>
        </w:rPr>
        <w:t xml:space="preserve"> Η δημιουργία, το Φεβρουάριο του 2016, μιας νέας ρυθμιστικής αρχής, του </w:t>
      </w:r>
      <w:r w:rsidRPr="00846EBA">
        <w:rPr>
          <w:rFonts w:ascii="Verdana" w:hAnsi="Verdana"/>
          <w:b/>
          <w:bCs/>
        </w:rPr>
        <w:t>Εποπτικού Συμβουλίου της Χρηματοπιστωτικής Αγοράς</w:t>
      </w:r>
      <w:r w:rsidRPr="00846EBA">
        <w:rPr>
          <w:rFonts w:ascii="Verdana" w:hAnsi="Verdana"/>
        </w:rPr>
        <w:t xml:space="preserve"> (FMSC), αναμενόταν αρχικά να βάλει μια τάξη σε μια μάλλον απογοητευτική κατάσταση, με πολλές δυσλειτουργίες και παθογένειες.  Εντούτοις, από το καλοκαίρι του 2017, με βάση μια νέα νομική ρύθμιση, όλες οι αποφάσεις του FMSA υπόκεινται πλέον σε έγκριση του αρμόδιου Υπουργού και ο τελευταίος ενίοτε τις «μπλοκάρει». Άρα, η απώλεια τις αυτονομίας του FMSC στην πράξη έχει «ψαλιδίσει» τη δυνατότητά του να επιβάλει μέτρα στα ιδρύματα εκείνα που δεν έχουν ικανή κεφαλαιακή επάρκεια και τα οποία δεν είναι λίγα. Μια δεύτερη καθοριστική εξέλιξη το 2017 -για πρώτη χρονιά στα </w:t>
      </w:r>
      <w:proofErr w:type="spellStart"/>
      <w:r w:rsidRPr="00846EBA">
        <w:rPr>
          <w:rFonts w:ascii="Verdana" w:hAnsi="Verdana"/>
        </w:rPr>
        <w:t>αζερικά</w:t>
      </w:r>
      <w:proofErr w:type="spellEnd"/>
      <w:r w:rsidRPr="00846EBA">
        <w:rPr>
          <w:rFonts w:ascii="Verdana" w:hAnsi="Verdana"/>
        </w:rPr>
        <w:t xml:space="preserve"> χρονικά- ήταν η </w:t>
      </w:r>
      <w:r w:rsidRPr="00846EBA">
        <w:rPr>
          <w:rFonts w:ascii="Verdana" w:hAnsi="Verdana"/>
          <w:i/>
          <w:iCs/>
        </w:rPr>
        <w:t>«ένεση ρευστότητας»</w:t>
      </w:r>
      <w:r w:rsidRPr="00846EBA">
        <w:rPr>
          <w:rFonts w:ascii="Verdana" w:hAnsi="Verdana"/>
        </w:rPr>
        <w:t xml:space="preserve"> ύψους 7,5 δις ΑΖΝ από το Oil Fund προς την ίδια την Κεντρική Τράπεζα της χώρας (CBA), προκειμένου η τελευταία με τη σειρά της να παράσχει στήριξη στις εμπορικές τράπεζες. </w:t>
      </w:r>
    </w:p>
    <w:p w:rsidR="00846EBA" w:rsidRPr="00846EBA" w:rsidRDefault="00846EBA" w:rsidP="00846EBA">
      <w:pPr>
        <w:jc w:val="both"/>
        <w:rPr>
          <w:rFonts w:ascii="Verdana" w:hAnsi="Verdana"/>
        </w:rPr>
      </w:pPr>
      <w:r w:rsidRPr="00846EBA">
        <w:rPr>
          <w:rFonts w:ascii="Verdana" w:hAnsi="Verdana"/>
        </w:rPr>
        <w:t xml:space="preserve">Οι δύο υποτιμήσεις του 2015 επέφεραν βαρύτατο πλήγμα  στις </w:t>
      </w:r>
      <w:proofErr w:type="spellStart"/>
      <w:r w:rsidRPr="00846EBA">
        <w:rPr>
          <w:rFonts w:ascii="Verdana" w:hAnsi="Verdana"/>
        </w:rPr>
        <w:t>αζερικές</w:t>
      </w:r>
      <w:proofErr w:type="spellEnd"/>
      <w:r w:rsidRPr="00846EBA">
        <w:rPr>
          <w:rFonts w:ascii="Verdana" w:hAnsi="Verdana"/>
        </w:rPr>
        <w:t xml:space="preserve"> τράπεζες, που ακόμη προσπαθούν να ορθοποδήσουν. Ευρισκόμενες σε ανοικτή θέση ξένου νομίσματος (</w:t>
      </w:r>
      <w:proofErr w:type="spellStart"/>
      <w:r w:rsidRPr="00846EBA">
        <w:rPr>
          <w:rFonts w:ascii="Verdana" w:hAnsi="Verdana"/>
          <w:i/>
          <w:iCs/>
        </w:rPr>
        <w:t>open</w:t>
      </w:r>
      <w:proofErr w:type="spellEnd"/>
      <w:r w:rsidRPr="00846EBA">
        <w:rPr>
          <w:rFonts w:ascii="Verdana" w:hAnsi="Verdana"/>
          <w:i/>
          <w:iCs/>
        </w:rPr>
        <w:t xml:space="preserve"> </w:t>
      </w:r>
      <w:proofErr w:type="spellStart"/>
      <w:r w:rsidRPr="00846EBA">
        <w:rPr>
          <w:rFonts w:ascii="Verdana" w:hAnsi="Verdana"/>
          <w:i/>
          <w:iCs/>
        </w:rPr>
        <w:t>foreign</w:t>
      </w:r>
      <w:proofErr w:type="spellEnd"/>
      <w:r w:rsidRPr="00846EBA">
        <w:rPr>
          <w:rFonts w:ascii="Verdana" w:hAnsi="Verdana"/>
          <w:i/>
          <w:iCs/>
        </w:rPr>
        <w:t xml:space="preserve"> </w:t>
      </w:r>
      <w:proofErr w:type="spellStart"/>
      <w:r w:rsidRPr="00846EBA">
        <w:rPr>
          <w:rFonts w:ascii="Verdana" w:hAnsi="Verdana"/>
          <w:i/>
          <w:iCs/>
        </w:rPr>
        <w:t>currency</w:t>
      </w:r>
      <w:proofErr w:type="spellEnd"/>
      <w:r w:rsidRPr="00846EBA">
        <w:rPr>
          <w:rFonts w:ascii="Verdana" w:hAnsi="Verdana"/>
          <w:i/>
          <w:iCs/>
        </w:rPr>
        <w:t xml:space="preserve"> </w:t>
      </w:r>
      <w:proofErr w:type="spellStart"/>
      <w:r w:rsidRPr="00846EBA">
        <w:rPr>
          <w:rFonts w:ascii="Verdana" w:hAnsi="Verdana"/>
          <w:i/>
          <w:iCs/>
        </w:rPr>
        <w:t>position</w:t>
      </w:r>
      <w:proofErr w:type="spellEnd"/>
      <w:r w:rsidRPr="00846EBA">
        <w:rPr>
          <w:rFonts w:ascii="Verdana" w:hAnsi="Verdana"/>
        </w:rPr>
        <w:t>) και με μεγάλο μέρος των χορηγήσεών τους, τόσο προς ιδιώτες όσο και προς επιχειρήσεις, να είναι με ρήτρα συναλλάγματος (</w:t>
      </w:r>
      <w:proofErr w:type="spellStart"/>
      <w:r w:rsidRPr="00846EBA">
        <w:rPr>
          <w:rFonts w:ascii="Verdana" w:hAnsi="Verdana"/>
          <w:i/>
          <w:iCs/>
        </w:rPr>
        <w:t>currency</w:t>
      </w:r>
      <w:proofErr w:type="spellEnd"/>
      <w:r w:rsidRPr="00846EBA">
        <w:rPr>
          <w:rFonts w:ascii="Verdana" w:hAnsi="Verdana"/>
          <w:i/>
          <w:iCs/>
        </w:rPr>
        <w:t xml:space="preserve"> </w:t>
      </w:r>
      <w:proofErr w:type="spellStart"/>
      <w:r w:rsidRPr="00846EBA">
        <w:rPr>
          <w:rFonts w:ascii="Verdana" w:hAnsi="Verdana"/>
          <w:i/>
          <w:iCs/>
        </w:rPr>
        <w:t>denominated</w:t>
      </w:r>
      <w:proofErr w:type="spellEnd"/>
      <w:r w:rsidRPr="00846EBA">
        <w:rPr>
          <w:rFonts w:ascii="Verdana" w:hAnsi="Verdana"/>
          <w:i/>
          <w:iCs/>
        </w:rPr>
        <w:t xml:space="preserve"> </w:t>
      </w:r>
      <w:proofErr w:type="spellStart"/>
      <w:r w:rsidRPr="00846EBA">
        <w:rPr>
          <w:rFonts w:ascii="Verdana" w:hAnsi="Verdana"/>
          <w:i/>
          <w:iCs/>
        </w:rPr>
        <w:t>loans</w:t>
      </w:r>
      <w:proofErr w:type="spellEnd"/>
      <w:r w:rsidRPr="00846EBA">
        <w:rPr>
          <w:rFonts w:ascii="Verdana" w:hAnsi="Verdana"/>
        </w:rPr>
        <w:t>), δέχτηκαν ισχυρές πιέσεις. Από 47 εμπορικές τράπεζες που είχε φθάσει να διαθέτει η</w:t>
      </w:r>
      <w:r w:rsidR="005417FF">
        <w:rPr>
          <w:rFonts w:ascii="Verdana" w:hAnsi="Verdana"/>
        </w:rPr>
        <w:t xml:space="preserve"> χώρα το 2014, απέμειναν το 2019</w:t>
      </w:r>
      <w:r w:rsidRPr="00846EBA">
        <w:rPr>
          <w:rFonts w:ascii="Verdana" w:hAnsi="Verdana"/>
        </w:rPr>
        <w:t xml:space="preserve"> μόλις 30, δηλαδή 17 είτε έκλεισαν είτε συγχωνεύτηκαν είτε ανακλήθηκε η άδεια λειτουργίας τους. </w:t>
      </w:r>
    </w:p>
    <w:p w:rsidR="00846EBA" w:rsidRPr="00846EBA" w:rsidRDefault="00846EBA" w:rsidP="00846EBA">
      <w:pPr>
        <w:jc w:val="both"/>
        <w:rPr>
          <w:rFonts w:ascii="Verdana" w:hAnsi="Verdana"/>
        </w:rPr>
      </w:pPr>
      <w:r w:rsidRPr="00846EBA">
        <w:rPr>
          <w:rFonts w:ascii="Verdana" w:hAnsi="Verdana"/>
        </w:rPr>
        <w:t xml:space="preserve">Ο </w:t>
      </w:r>
      <w:r w:rsidRPr="00846EBA">
        <w:rPr>
          <w:rFonts w:ascii="Verdana" w:hAnsi="Verdana"/>
          <w:i/>
          <w:iCs/>
        </w:rPr>
        <w:t>«μεγάλος ασθενής»</w:t>
      </w:r>
      <w:r w:rsidRPr="00846EBA">
        <w:rPr>
          <w:rFonts w:ascii="Verdana" w:hAnsi="Verdana"/>
        </w:rPr>
        <w:t xml:space="preserve"> του χρηματοπιστωτικού κλάδου στα μέσα της δεκαετίας του 2010 ήταν η μεγαλύτερη τράπεζα της χώρας, </w:t>
      </w:r>
      <w:r w:rsidRPr="00846EBA">
        <w:rPr>
          <w:rFonts w:ascii="Verdana" w:hAnsi="Verdana"/>
          <w:b/>
          <w:bCs/>
        </w:rPr>
        <w:t>ΙΒΑ</w:t>
      </w:r>
      <w:r w:rsidRPr="00846EBA">
        <w:rPr>
          <w:rFonts w:ascii="Verdana" w:hAnsi="Verdana"/>
        </w:rPr>
        <w:t xml:space="preserve"> (International Bank). Τα «κακά δάνεια» (</w:t>
      </w:r>
      <w:proofErr w:type="spellStart"/>
      <w:r w:rsidRPr="00846EBA">
        <w:rPr>
          <w:rFonts w:ascii="Verdana" w:hAnsi="Verdana"/>
        </w:rPr>
        <w:t>bad</w:t>
      </w:r>
      <w:proofErr w:type="spellEnd"/>
      <w:r w:rsidRPr="00846EBA">
        <w:rPr>
          <w:rFonts w:ascii="Verdana" w:hAnsi="Verdana"/>
        </w:rPr>
        <w:t xml:space="preserve"> </w:t>
      </w:r>
      <w:proofErr w:type="spellStart"/>
      <w:r w:rsidRPr="00846EBA">
        <w:rPr>
          <w:rFonts w:ascii="Verdana" w:hAnsi="Verdana"/>
        </w:rPr>
        <w:t>loans</w:t>
      </w:r>
      <w:proofErr w:type="spellEnd"/>
      <w:r w:rsidRPr="00846EBA">
        <w:rPr>
          <w:rFonts w:ascii="Verdana" w:hAnsi="Verdana"/>
        </w:rPr>
        <w:t xml:space="preserve">) τα οποία χορηγήθηκαν από την ΙΒΑ σε τρίτους κατά το παρελθόν εκτιμώνται σε 6-7 δις USD (σχεδόν 70% επί του συνόλου των χορηγήσεων). Μεγάλο μέρος -περίπου 3,7 δις σε USD και 1,1 δις σε ευρώ- φημολογείται, ότι μεταφέρθηκαν έως τις αρχές του 2015 σε </w:t>
      </w:r>
      <w:proofErr w:type="spellStart"/>
      <w:r w:rsidRPr="00846EBA">
        <w:rPr>
          <w:rFonts w:ascii="Verdana" w:hAnsi="Verdana"/>
        </w:rPr>
        <w:t>offshore</w:t>
      </w:r>
      <w:proofErr w:type="spellEnd"/>
      <w:r w:rsidRPr="00846EBA">
        <w:rPr>
          <w:rFonts w:ascii="Verdana" w:hAnsi="Verdana"/>
        </w:rPr>
        <w:t xml:space="preserve"> τραπεζικούς λογαριασμούς, επομένως είναι πλέον μη ανακτήσιμα. Προκειμένου να διασώσει την κλονιζόμενη λόγω κεφαλαιακής ανεπάρκειας ΙΒΑ, το Δημόσιο αύξησε προοδευτικά τη συμμετοχή του επί του μετοχικού της κεφαλαίου από 51% σε 95% (τέλος του 2016, όταν ολοκληρώθηκε η </w:t>
      </w:r>
      <w:proofErr w:type="spellStart"/>
      <w:r w:rsidRPr="00846EBA">
        <w:rPr>
          <w:rFonts w:ascii="Verdana" w:hAnsi="Verdana"/>
        </w:rPr>
        <w:t>ανακεφαλαιοποίηση</w:t>
      </w:r>
      <w:proofErr w:type="spellEnd"/>
      <w:r w:rsidRPr="00846EBA">
        <w:rPr>
          <w:rFonts w:ascii="Verdana" w:hAnsi="Verdana"/>
        </w:rPr>
        <w:t xml:space="preserve">), ενώ, παράλληλα, την «έσπασε» σε δύο τμήματα, το </w:t>
      </w:r>
      <w:r w:rsidRPr="00846EBA">
        <w:rPr>
          <w:rFonts w:ascii="Verdana" w:hAnsi="Verdana"/>
          <w:i/>
          <w:iCs/>
        </w:rPr>
        <w:t>«καλό»</w:t>
      </w:r>
      <w:r w:rsidRPr="00846EBA">
        <w:rPr>
          <w:rFonts w:ascii="Verdana" w:hAnsi="Verdana"/>
        </w:rPr>
        <w:t xml:space="preserve"> και το </w:t>
      </w:r>
      <w:r w:rsidRPr="00846EBA">
        <w:rPr>
          <w:rFonts w:ascii="Verdana" w:hAnsi="Verdana"/>
          <w:i/>
          <w:iCs/>
        </w:rPr>
        <w:t>«κακό»</w:t>
      </w:r>
      <w:r w:rsidRPr="00846EBA">
        <w:rPr>
          <w:rFonts w:ascii="Verdana" w:hAnsi="Verdana"/>
        </w:rPr>
        <w:t xml:space="preserve">. Και πάλι, όμως, λίαν αρνητικό μήνυμα προς την παγκόσμια χρηματοπιστωτική κοινότητα </w:t>
      </w:r>
      <w:r w:rsidRPr="00846EBA">
        <w:rPr>
          <w:rFonts w:ascii="Verdana" w:hAnsi="Verdana"/>
        </w:rPr>
        <w:lastRenderedPageBreak/>
        <w:t xml:space="preserve">μετέδωσε η </w:t>
      </w:r>
      <w:r w:rsidRPr="00846EBA">
        <w:rPr>
          <w:rFonts w:ascii="Verdana" w:hAnsi="Verdana"/>
          <w:b/>
          <w:bCs/>
        </w:rPr>
        <w:t>αίτηση της ΙΒΑ για αναδιάρθρωση των υποχρεώσεών της</w:t>
      </w:r>
      <w:r w:rsidRPr="00846EBA">
        <w:rPr>
          <w:rFonts w:ascii="Verdana" w:hAnsi="Verdana"/>
        </w:rPr>
        <w:t xml:space="preserve"> (άνω των 3 δις USD) </w:t>
      </w:r>
      <w:r w:rsidRPr="00846EBA">
        <w:rPr>
          <w:rFonts w:ascii="Verdana" w:hAnsi="Verdana"/>
          <w:b/>
          <w:bCs/>
        </w:rPr>
        <w:t>αποκλειστικά προς τους ξένους πιστωτές</w:t>
      </w:r>
      <w:r w:rsidRPr="00846EBA">
        <w:rPr>
          <w:rFonts w:ascii="Verdana" w:hAnsi="Verdana"/>
        </w:rPr>
        <w:t xml:space="preserve">, που υπεβλήθη το Μάιο του 2017. Στις 18.07.2017 κατέληξε τελικά σε συμφωνία με αυτούς κι έτσι το τραπεζικό σύστημα απέφυγε το συστημικό «σοκ» που θα προκαλούσε ένα πιθανό </w:t>
      </w:r>
      <w:proofErr w:type="spellStart"/>
      <w:r w:rsidRPr="00846EBA">
        <w:rPr>
          <w:rFonts w:ascii="Verdana" w:hAnsi="Verdana"/>
        </w:rPr>
        <w:t>default</w:t>
      </w:r>
      <w:proofErr w:type="spellEnd"/>
      <w:r w:rsidRPr="00846EBA">
        <w:rPr>
          <w:rFonts w:ascii="Verdana" w:hAnsi="Verdana"/>
        </w:rPr>
        <w:t xml:space="preserve"> της ΙΒΑ. </w:t>
      </w:r>
    </w:p>
    <w:p w:rsidR="00846EBA" w:rsidRPr="00846EBA" w:rsidRDefault="00846EBA" w:rsidP="00846EBA">
      <w:pPr>
        <w:jc w:val="both"/>
        <w:rPr>
          <w:rFonts w:ascii="Verdana" w:hAnsi="Verdana"/>
        </w:rPr>
      </w:pPr>
      <w:r w:rsidRPr="00846EBA">
        <w:rPr>
          <w:rFonts w:ascii="Verdana" w:hAnsi="Verdana"/>
        </w:rPr>
        <w:t>Γενικά, ο ρυθμός πιστωτικής επέκτασης από το 2015 μέχρι και το τέλος του 2017 υπήρξε έντονα αρνητικός</w:t>
      </w:r>
      <w:r w:rsidRPr="00846EBA">
        <w:rPr>
          <w:rFonts w:ascii="Verdana" w:hAnsi="Verdana"/>
          <w:i/>
          <w:iCs/>
        </w:rPr>
        <w:t>, «στραγγαλίζοντας»</w:t>
      </w:r>
      <w:r w:rsidRPr="00846EBA">
        <w:rPr>
          <w:rFonts w:ascii="Verdana" w:hAnsi="Verdana"/>
        </w:rPr>
        <w:t xml:space="preserve"> την πραγματική οικονομία, που υπέφερε όσο ποτέ άλλοτε από έλλειψη ρευστότητας. Από την άνοιξη του 2018 και εντεύθεν, ο ρυθμός πιστωτικής επέκτασης έχει επανέλθει για πρώτη φορά, μετά από την καταστροφική για τις εμπορικές τράπεζες τριετία, όπως προαναφέρθηκε, σε θετικό πρόσημο, αλλά και πάλι οι επιδόσεις  παραμένουν μάλλον απογοητευτικές για μια χώρα 10 εκατ. κατοίκων</w:t>
      </w:r>
      <w:r w:rsidRPr="0064723D">
        <w:rPr>
          <w:rFonts w:ascii="Verdana" w:hAnsi="Verdana"/>
        </w:rPr>
        <w:t xml:space="preserve">: </w:t>
      </w:r>
      <w:r w:rsidRPr="00E70913">
        <w:rPr>
          <w:rFonts w:ascii="Verdana" w:hAnsi="Verdana"/>
          <w:b/>
        </w:rPr>
        <w:t xml:space="preserve">στα </w:t>
      </w:r>
      <w:r w:rsidR="0064723D" w:rsidRPr="00E70913">
        <w:rPr>
          <w:rFonts w:ascii="Verdana" w:hAnsi="Verdana"/>
          <w:b/>
        </w:rPr>
        <w:t>τέλη του 2019</w:t>
      </w:r>
      <w:r w:rsidRPr="0064723D">
        <w:rPr>
          <w:rFonts w:ascii="Verdana" w:hAnsi="Verdana"/>
        </w:rPr>
        <w:t xml:space="preserve">, το συνολικό δανειακό χαρτοφυλάκιο των τραπεζών προς νοικοκυριά και επιχειρήσεις ήταν </w:t>
      </w:r>
      <w:r w:rsidR="0064723D" w:rsidRPr="0064723D">
        <w:rPr>
          <w:rFonts w:ascii="Verdana" w:hAnsi="Verdana"/>
        </w:rPr>
        <w:t>15,2</w:t>
      </w:r>
      <w:r w:rsidRPr="0064723D">
        <w:rPr>
          <w:rFonts w:ascii="Verdana" w:hAnsi="Verdana"/>
        </w:rPr>
        <w:t xml:space="preserve"> δις </w:t>
      </w:r>
      <w:r w:rsidRPr="0064723D">
        <w:rPr>
          <w:rFonts w:ascii="Verdana" w:hAnsi="Verdana"/>
          <w:lang w:val="en-US"/>
        </w:rPr>
        <w:t>AZN</w:t>
      </w:r>
      <w:r w:rsidR="0064723D">
        <w:rPr>
          <w:rFonts w:ascii="Verdana" w:hAnsi="Verdana"/>
        </w:rPr>
        <w:t xml:space="preserve"> (-41</w:t>
      </w:r>
      <w:r w:rsidRPr="0064723D">
        <w:rPr>
          <w:rFonts w:ascii="Verdana" w:hAnsi="Verdana"/>
        </w:rPr>
        <w:t>% από το αντίστοιχο</w:t>
      </w:r>
      <w:r w:rsidR="0064723D">
        <w:rPr>
          <w:rFonts w:ascii="Verdana" w:hAnsi="Verdana"/>
        </w:rPr>
        <w:t xml:space="preserve"> επίπεδο του 2015 που ήταν 21,1</w:t>
      </w:r>
      <w:r w:rsidRPr="0064723D">
        <w:rPr>
          <w:rFonts w:ascii="Verdana" w:hAnsi="Verdana"/>
        </w:rPr>
        <w:t xml:space="preserve"> δις).</w:t>
      </w:r>
      <w:r w:rsidRPr="00846EBA">
        <w:rPr>
          <w:rFonts w:ascii="Verdana" w:hAnsi="Verdana"/>
        </w:rPr>
        <w:t xml:space="preserve"> </w:t>
      </w:r>
      <w:r w:rsidR="00FB44C7">
        <w:rPr>
          <w:rFonts w:ascii="Verdana" w:hAnsi="Verdana"/>
        </w:rPr>
        <w:t>Οι</w:t>
      </w:r>
      <w:r w:rsidRPr="00846EBA">
        <w:rPr>
          <w:rFonts w:ascii="Verdana" w:hAnsi="Verdana"/>
        </w:rPr>
        <w:t xml:space="preserve"> καταθέσεις </w:t>
      </w:r>
      <w:r w:rsidR="00FB44C7" w:rsidRPr="0064723D">
        <w:rPr>
          <w:rFonts w:ascii="Verdana" w:hAnsi="Verdana"/>
        </w:rPr>
        <w:t>στα τέλη του 2019</w:t>
      </w:r>
      <w:r w:rsidR="00FB44C7">
        <w:rPr>
          <w:rFonts w:ascii="Verdana" w:hAnsi="Verdana"/>
        </w:rPr>
        <w:t xml:space="preserve"> </w:t>
      </w:r>
      <w:r w:rsidRPr="00846EBA">
        <w:rPr>
          <w:rFonts w:ascii="Verdana" w:hAnsi="Verdana"/>
        </w:rPr>
        <w:t xml:space="preserve">ανέρχονταν σε </w:t>
      </w:r>
      <w:r w:rsidR="0064723D">
        <w:rPr>
          <w:rFonts w:ascii="Verdana" w:hAnsi="Verdana"/>
        </w:rPr>
        <w:t>24,7</w:t>
      </w:r>
      <w:r w:rsidRPr="00846EBA">
        <w:rPr>
          <w:rFonts w:ascii="Verdana" w:hAnsi="Verdana"/>
        </w:rPr>
        <w:t xml:space="preserve"> δις ΑΖΝ ή περίπου </w:t>
      </w:r>
      <w:r w:rsidR="00FB44C7">
        <w:rPr>
          <w:rFonts w:ascii="Verdana" w:hAnsi="Verdana"/>
        </w:rPr>
        <w:t>14,1</w:t>
      </w:r>
      <w:r w:rsidRPr="00846EBA">
        <w:rPr>
          <w:rFonts w:ascii="Verdana" w:hAnsi="Verdana"/>
        </w:rPr>
        <w:t xml:space="preserve"> δις ευρώ. Το ποσοστό δολαριοποίησης  των καταθέσεων </w:t>
      </w:r>
      <w:r w:rsidR="00FB44C7" w:rsidRPr="0064723D">
        <w:rPr>
          <w:rFonts w:ascii="Verdana" w:hAnsi="Verdana"/>
        </w:rPr>
        <w:t>στα τέλη του 2019</w:t>
      </w:r>
      <w:r w:rsidR="00FB44C7">
        <w:rPr>
          <w:rFonts w:ascii="Verdana" w:hAnsi="Verdana"/>
        </w:rPr>
        <w:t xml:space="preserve"> </w:t>
      </w:r>
      <w:r w:rsidRPr="00846EBA">
        <w:rPr>
          <w:rFonts w:ascii="Verdana" w:hAnsi="Verdana"/>
        </w:rPr>
        <w:t>παρέμ</w:t>
      </w:r>
      <w:r w:rsidR="00FB44C7">
        <w:rPr>
          <w:rFonts w:ascii="Verdana" w:hAnsi="Verdana"/>
        </w:rPr>
        <w:t>ενε μεν πάρα πολύ υψηλό (60,7</w:t>
      </w:r>
      <w:r w:rsidRPr="00846EBA">
        <w:rPr>
          <w:rFonts w:ascii="Verdana" w:hAnsi="Verdana"/>
        </w:rPr>
        <w:t xml:space="preserve">%), αλλά σημαντικά μειωμένο σε σχέση με το 80% του 2016. Η ανάσχεση της πιστωτικής επέκτασης συνδέεται με </w:t>
      </w:r>
      <w:r w:rsidRPr="00846EBA">
        <w:rPr>
          <w:rFonts w:ascii="Verdana" w:hAnsi="Verdana"/>
          <w:b/>
        </w:rPr>
        <w:t>τα</w:t>
      </w:r>
      <w:r w:rsidRPr="00846EBA">
        <w:rPr>
          <w:rFonts w:ascii="Verdana" w:hAnsi="Verdana"/>
        </w:rPr>
        <w:t xml:space="preserve"> </w:t>
      </w:r>
      <w:r w:rsidRPr="00846EBA">
        <w:rPr>
          <w:rFonts w:ascii="Verdana" w:hAnsi="Verdana"/>
          <w:b/>
          <w:bCs/>
        </w:rPr>
        <w:t>υψηλά επιτόκια χορηγήσεων</w:t>
      </w:r>
      <w:r w:rsidRPr="00846EBA">
        <w:rPr>
          <w:rFonts w:ascii="Verdana" w:hAnsi="Verdana"/>
        </w:rPr>
        <w:t>. Δύο στις τρεις τράπεζες είναι σε θέση να χορηγούν ακόμη καταναλωτικά δάνεια, αλλά με απαγορευτικά επιτόκια (ενώ οι μισές χορηγούν επιχειρηματικά δάνεια,  με επιτόκια σχεδόν το ίδιο υψηλά). Θετική εξέλιξη πάντως κατά το 2018 ήταν η αποκλιμάκωση του βασικού -</w:t>
      </w:r>
      <w:r w:rsidR="00E70913" w:rsidRPr="00E70913">
        <w:rPr>
          <w:rFonts w:ascii="Verdana" w:hAnsi="Verdana"/>
        </w:rPr>
        <w:t xml:space="preserve"> </w:t>
      </w:r>
      <w:r w:rsidRPr="00846EBA">
        <w:rPr>
          <w:rFonts w:ascii="Verdana" w:hAnsi="Verdana"/>
        </w:rPr>
        <w:t xml:space="preserve">ή προεξοφλητικού- επιτοκίου εκ μέρους της Κεντρικής Τράπεζας από το 15% στο 10%, που παραμένει, ωστόσο, τριπλάσιο σχεδόν σε σχέση με το  3,5% στο οποίο βρισκόταν μέχρι τις αρχές του 2016. </w:t>
      </w:r>
    </w:p>
    <w:p w:rsidR="00846EBA" w:rsidRPr="00846EBA" w:rsidRDefault="00846EBA" w:rsidP="00846EBA">
      <w:pPr>
        <w:jc w:val="both"/>
        <w:rPr>
          <w:rFonts w:ascii="Verdana" w:hAnsi="Verdana"/>
        </w:rPr>
      </w:pPr>
      <w:r w:rsidRPr="00846EBA">
        <w:rPr>
          <w:rFonts w:ascii="Verdana" w:hAnsi="Verdana"/>
        </w:rPr>
        <w:t xml:space="preserve">Η αρνητική κατάσταση στις τράπεζες αναπόφευκτα επηρεάζει και τον πάλαι ποτέ κραταιό κλάδο του </w:t>
      </w:r>
      <w:r w:rsidRPr="00846EBA">
        <w:rPr>
          <w:rFonts w:ascii="Verdana" w:hAnsi="Verdana"/>
          <w:b/>
          <w:bCs/>
          <w:lang w:val="en-US"/>
        </w:rPr>
        <w:t>real</w:t>
      </w:r>
      <w:r w:rsidRPr="00846EBA">
        <w:rPr>
          <w:rFonts w:ascii="Verdana" w:hAnsi="Verdana"/>
          <w:b/>
          <w:bCs/>
        </w:rPr>
        <w:t xml:space="preserve"> </w:t>
      </w:r>
      <w:r w:rsidRPr="00846EBA">
        <w:rPr>
          <w:rFonts w:ascii="Verdana" w:hAnsi="Verdana"/>
          <w:b/>
          <w:bCs/>
          <w:lang w:val="en-US"/>
        </w:rPr>
        <w:t>estate</w:t>
      </w:r>
      <w:r w:rsidRPr="00846EBA">
        <w:rPr>
          <w:rFonts w:ascii="Verdana" w:hAnsi="Verdana"/>
        </w:rPr>
        <w:t>, μολονότι παραδοσιακά ένα τμή</w:t>
      </w:r>
      <w:r w:rsidR="005417FF">
        <w:rPr>
          <w:rFonts w:ascii="Verdana" w:hAnsi="Verdana"/>
        </w:rPr>
        <w:t>μα των σχετικών αγοραπωλησιών λαμβά</w:t>
      </w:r>
      <w:r w:rsidRPr="00846EBA">
        <w:rPr>
          <w:rFonts w:ascii="Verdana" w:hAnsi="Verdana"/>
        </w:rPr>
        <w:t>νε</w:t>
      </w:r>
      <w:r w:rsidR="005417FF">
        <w:rPr>
          <w:rFonts w:ascii="Verdana" w:hAnsi="Verdana"/>
        </w:rPr>
        <w:t>ι</w:t>
      </w:r>
      <w:r w:rsidRPr="00846EBA">
        <w:rPr>
          <w:rFonts w:ascii="Verdana" w:hAnsi="Verdana"/>
        </w:rPr>
        <w:t xml:space="preserve"> χώρα με μετρητά, δηλαδή χωρίς ενυπόθηκο δάνειο. Μαζικές κατασχέσεις κατοικιών, αυτοκινήτων αλλά ακόμη και μισθών (για τους δανειολήπτες που αδυνατούν να πληρώσουν) είναι πλέον στην ημερήσια διάταξη. Τα τελευταία χρόνια, τέλος, οι ηλεκτρονικές τραπεζικές συναλλαγές (μέσω </w:t>
      </w:r>
      <w:r w:rsidRPr="00846EBA">
        <w:rPr>
          <w:rFonts w:ascii="Verdana" w:hAnsi="Verdana"/>
          <w:lang w:val="en-US"/>
        </w:rPr>
        <w:t>e</w:t>
      </w:r>
      <w:r w:rsidRPr="00846EBA">
        <w:rPr>
          <w:rFonts w:ascii="Verdana" w:hAnsi="Verdana"/>
        </w:rPr>
        <w:t>-</w:t>
      </w:r>
      <w:r w:rsidRPr="00846EBA">
        <w:rPr>
          <w:rFonts w:ascii="Verdana" w:hAnsi="Verdana"/>
          <w:lang w:val="en-US"/>
        </w:rPr>
        <w:t>banking</w:t>
      </w:r>
      <w:r w:rsidRPr="00846EBA">
        <w:rPr>
          <w:rFonts w:ascii="Verdana" w:hAnsi="Verdana"/>
        </w:rPr>
        <w:t>) σημειώνουν κατακόρυφη αύξηση. Παρατηρήθηκε μια δυναμική ανάπτυξη των συναλλαγών μέσω χρήσης προσωπικών υπολογιστών, κινητών τηλεφώνων και άλλων τεχνολογικών καινοτομιών.</w:t>
      </w:r>
    </w:p>
    <w:p w:rsidR="0039485E" w:rsidRPr="00036C3C" w:rsidRDefault="00036C3C" w:rsidP="00A61430">
      <w:pPr>
        <w:jc w:val="both"/>
        <w:rPr>
          <w:rFonts w:ascii="Verdana" w:hAnsi="Verdana"/>
          <w:b/>
          <w:color w:val="002060"/>
          <w:sz w:val="24"/>
          <w:szCs w:val="24"/>
        </w:rPr>
      </w:pPr>
      <w:r w:rsidRPr="00036C3C">
        <w:rPr>
          <w:rFonts w:ascii="Verdana" w:hAnsi="Verdana"/>
          <w:b/>
          <w:color w:val="002060"/>
          <w:sz w:val="24"/>
          <w:szCs w:val="24"/>
        </w:rPr>
        <w:t xml:space="preserve">4. </w:t>
      </w:r>
      <w:r w:rsidR="0039485E" w:rsidRPr="00036C3C">
        <w:rPr>
          <w:rFonts w:ascii="Verdana" w:hAnsi="Verdana"/>
          <w:b/>
          <w:color w:val="002060"/>
          <w:sz w:val="24"/>
          <w:szCs w:val="24"/>
        </w:rPr>
        <w:t>ΕΞΩΤΕΡΙΚΕΣ ΕΜΠΟΡΙΚΕΣ ΣΥΝΑΛΛΑΓΕΣ</w:t>
      </w:r>
    </w:p>
    <w:p w:rsidR="00E75E9A" w:rsidRDefault="00E75E9A" w:rsidP="00E75E9A">
      <w:pPr>
        <w:jc w:val="both"/>
        <w:rPr>
          <w:rFonts w:ascii="Verdana" w:hAnsi="Verdana"/>
        </w:rPr>
      </w:pPr>
      <w:r w:rsidRPr="00FC71F4">
        <w:rPr>
          <w:rFonts w:ascii="Verdana" w:hAnsi="Verdana"/>
          <w:b/>
        </w:rPr>
        <w:t>Οι εξωτερικές εμπορικές συναλλαγές της χώρας χαρακτηρίζονται διαχρονικά από υψηλά εμπορικά πλεονάσματα,</w:t>
      </w:r>
      <w:r>
        <w:rPr>
          <w:rFonts w:ascii="Verdana" w:hAnsi="Verdana"/>
        </w:rPr>
        <w:t xml:space="preserve"> τα οποία, μετά μια μικρή κάμψη το 2015, συνεχίζουν την ανοδική τους πορεία. </w:t>
      </w:r>
      <w:r w:rsidRPr="00FA7D62">
        <w:rPr>
          <w:rFonts w:ascii="Verdana" w:hAnsi="Verdana"/>
        </w:rPr>
        <w:t xml:space="preserve">Ενώ το εμπορικό πλεόνασμα των </w:t>
      </w:r>
      <w:r>
        <w:rPr>
          <w:rFonts w:ascii="Verdana" w:hAnsi="Verdana"/>
        </w:rPr>
        <w:t>3.512 εκατ.</w:t>
      </w:r>
      <w:r w:rsidRPr="00FA7D62">
        <w:rPr>
          <w:rFonts w:ascii="Verdana" w:hAnsi="Verdana"/>
        </w:rPr>
        <w:t xml:space="preserve"> $ </w:t>
      </w:r>
      <w:r>
        <w:rPr>
          <w:rFonts w:ascii="Verdana" w:hAnsi="Verdana"/>
        </w:rPr>
        <w:t>(2015</w:t>
      </w:r>
      <w:r w:rsidRPr="00FA7D62">
        <w:rPr>
          <w:rFonts w:ascii="Verdana" w:hAnsi="Verdana"/>
        </w:rPr>
        <w:t xml:space="preserve">) ήταν </w:t>
      </w:r>
      <w:r>
        <w:rPr>
          <w:rFonts w:ascii="Verdana" w:hAnsi="Verdana"/>
        </w:rPr>
        <w:t xml:space="preserve">σημαντικά χαμηλό </w:t>
      </w:r>
      <w:r w:rsidRPr="00FA7D62">
        <w:rPr>
          <w:rFonts w:ascii="Verdana" w:hAnsi="Verdana"/>
        </w:rPr>
        <w:t xml:space="preserve">σε σχέση με τα αντίστοιχα πλεονάσματα της «χρυσής» περιόδου που είχε προηγηθεί έως και το 2014, όταν δηλαδή οι τιμές του αργού πετρελαίου βρίσκονταν στα ύψη, </w:t>
      </w:r>
      <w:r>
        <w:rPr>
          <w:rFonts w:ascii="Verdana" w:hAnsi="Verdana"/>
        </w:rPr>
        <w:t>από το 2016</w:t>
      </w:r>
      <w:r w:rsidRPr="00FA7D62">
        <w:rPr>
          <w:rFonts w:ascii="Verdana" w:hAnsi="Verdana"/>
        </w:rPr>
        <w:t xml:space="preserve"> το εμπορικό πλεόνασμα  </w:t>
      </w:r>
      <w:r>
        <w:rPr>
          <w:rFonts w:ascii="Verdana" w:hAnsi="Verdana"/>
        </w:rPr>
        <w:t xml:space="preserve">ανέκαμψε </w:t>
      </w:r>
      <w:r w:rsidRPr="00FA7D62">
        <w:rPr>
          <w:rFonts w:ascii="Verdana" w:hAnsi="Verdana"/>
        </w:rPr>
        <w:t xml:space="preserve"> εκ νέου σε αξιόλογα επίπεδα</w:t>
      </w:r>
      <w:r w:rsidR="009E2492" w:rsidRPr="009E2492">
        <w:rPr>
          <w:rFonts w:ascii="Verdana" w:hAnsi="Verdana"/>
        </w:rPr>
        <w:t xml:space="preserve"> </w:t>
      </w:r>
      <w:r w:rsidR="00994BD0">
        <w:rPr>
          <w:rFonts w:ascii="Verdana" w:hAnsi="Verdana"/>
        </w:rPr>
        <w:t xml:space="preserve">και </w:t>
      </w:r>
      <w:r w:rsidR="009E2492">
        <w:rPr>
          <w:rFonts w:ascii="Verdana" w:hAnsi="Verdana"/>
        </w:rPr>
        <w:t xml:space="preserve">το </w:t>
      </w:r>
      <w:r w:rsidR="009E2492">
        <w:rPr>
          <w:rFonts w:ascii="Verdana" w:hAnsi="Verdana"/>
        </w:rPr>
        <w:lastRenderedPageBreak/>
        <w:t>2018</w:t>
      </w:r>
      <w:r w:rsidRPr="00FA7D62">
        <w:rPr>
          <w:rFonts w:ascii="Verdana" w:hAnsi="Verdana"/>
        </w:rPr>
        <w:t xml:space="preserve"> </w:t>
      </w:r>
      <w:r w:rsidR="00994BD0">
        <w:rPr>
          <w:rFonts w:ascii="Verdana" w:hAnsi="Verdana"/>
        </w:rPr>
        <w:t>ανήλθε</w:t>
      </w:r>
      <w:r>
        <w:rPr>
          <w:rFonts w:ascii="Verdana" w:hAnsi="Verdana"/>
        </w:rPr>
        <w:t xml:space="preserve">  τα 8</w:t>
      </w:r>
      <w:r w:rsidRPr="00FA7D62">
        <w:rPr>
          <w:rFonts w:ascii="Verdana" w:hAnsi="Verdana"/>
        </w:rPr>
        <w:t xml:space="preserve"> δις $ ΗΠΑ</w:t>
      </w:r>
      <w:r w:rsidR="00994BD0">
        <w:rPr>
          <w:rFonts w:ascii="Verdana" w:hAnsi="Verdana"/>
        </w:rPr>
        <w:t xml:space="preserve">. </w:t>
      </w:r>
      <w:r w:rsidR="00994BD0" w:rsidRPr="00994BD0">
        <w:rPr>
          <w:rFonts w:ascii="Verdana" w:hAnsi="Verdana"/>
          <w:b/>
        </w:rPr>
        <w:t>Το 2019 το εμπορικό πλεόνασμα σημείωσε, ωστόσο, κάμψη ανερχόμενο σε 5,9 δις $ ΗΠΑ.</w:t>
      </w:r>
      <w:r w:rsidR="00994BD0">
        <w:rPr>
          <w:rFonts w:ascii="Verdana" w:hAnsi="Verdana"/>
        </w:rPr>
        <w:t xml:space="preserve"> </w:t>
      </w:r>
      <w:r w:rsidRPr="00FA7D62">
        <w:rPr>
          <w:rFonts w:ascii="Verdana" w:hAnsi="Verdana"/>
        </w:rPr>
        <w:t xml:space="preserve"> </w:t>
      </w:r>
    </w:p>
    <w:p w:rsidR="0039485E" w:rsidRPr="00A61430" w:rsidRDefault="0039485E" w:rsidP="00A61430">
      <w:pPr>
        <w:jc w:val="both"/>
        <w:rPr>
          <w:rFonts w:ascii="Verdana" w:hAnsi="Verdana"/>
        </w:rPr>
      </w:pPr>
      <w:r w:rsidRPr="00A61430">
        <w:rPr>
          <w:rFonts w:ascii="Verdana" w:hAnsi="Verdana"/>
          <w:b/>
        </w:rPr>
        <w:t>Ο όγκος εξωτε</w:t>
      </w:r>
      <w:r w:rsidR="00990CAA">
        <w:rPr>
          <w:rFonts w:ascii="Verdana" w:hAnsi="Verdana"/>
          <w:b/>
        </w:rPr>
        <w:t>ρικού εμπορίου της χώρας το 2019</w:t>
      </w:r>
      <w:r w:rsidRPr="00A61430">
        <w:rPr>
          <w:rFonts w:ascii="Verdana" w:hAnsi="Verdana"/>
          <w:b/>
        </w:rPr>
        <w:t xml:space="preserve"> διαμορφώθηκε</w:t>
      </w:r>
      <w:r w:rsidR="00990CAA">
        <w:rPr>
          <w:rFonts w:ascii="Verdana" w:hAnsi="Verdana"/>
          <w:b/>
        </w:rPr>
        <w:t xml:space="preserve"> σε 33,3</w:t>
      </w:r>
      <w:r w:rsidRPr="00A61430">
        <w:rPr>
          <w:rFonts w:ascii="Verdana" w:hAnsi="Verdana"/>
          <w:b/>
        </w:rPr>
        <w:t xml:space="preserve"> δις δολάρια ΗΠΑ </w:t>
      </w:r>
      <w:r w:rsidRPr="00A61430">
        <w:rPr>
          <w:rFonts w:ascii="Verdana" w:hAnsi="Verdana"/>
        </w:rPr>
        <w:t>.</w:t>
      </w:r>
    </w:p>
    <w:p w:rsidR="0039485E" w:rsidRPr="00374B80" w:rsidRDefault="0039485E" w:rsidP="00A61430">
      <w:pPr>
        <w:jc w:val="both"/>
        <w:rPr>
          <w:rFonts w:ascii="Verdana" w:hAnsi="Verdana"/>
          <w:b/>
        </w:rPr>
      </w:pPr>
      <w:r w:rsidRPr="00374B80">
        <w:rPr>
          <w:rFonts w:ascii="Verdana" w:hAnsi="Verdana"/>
          <w:b/>
        </w:rPr>
        <w:t>Εκατ. $ δολάρια ΗΠΑ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0A0" w:firstRow="1" w:lastRow="0" w:firstColumn="1" w:lastColumn="0" w:noHBand="0" w:noVBand="0"/>
      </w:tblPr>
      <w:tblGrid>
        <w:gridCol w:w="2375"/>
        <w:gridCol w:w="2160"/>
        <w:gridCol w:w="2160"/>
        <w:gridCol w:w="2160"/>
      </w:tblGrid>
      <w:tr w:rsidR="00990CAA" w:rsidRPr="00A61430" w:rsidTr="00994BD0">
        <w:trPr>
          <w:trHeight w:val="273"/>
          <w:jc w:val="center"/>
        </w:trPr>
        <w:tc>
          <w:tcPr>
            <w:tcW w:w="2375" w:type="dxa"/>
            <w:shd w:val="clear" w:color="auto" w:fill="DDD9C3" w:themeFill="background2" w:themeFillShade="E6"/>
          </w:tcPr>
          <w:p w:rsidR="00990CAA" w:rsidRPr="00A61430" w:rsidRDefault="00990CAA" w:rsidP="00A61430">
            <w:pPr>
              <w:jc w:val="both"/>
              <w:rPr>
                <w:rFonts w:ascii="Verdana" w:hAnsi="Verdana"/>
                <w:b/>
                <w:bCs/>
              </w:rPr>
            </w:pPr>
          </w:p>
        </w:tc>
        <w:tc>
          <w:tcPr>
            <w:tcW w:w="2160" w:type="dxa"/>
            <w:shd w:val="clear" w:color="auto" w:fill="DDD9C3" w:themeFill="background2" w:themeFillShade="E6"/>
          </w:tcPr>
          <w:p w:rsidR="00990CAA" w:rsidRPr="00A61430" w:rsidRDefault="00990CAA" w:rsidP="00833777">
            <w:pPr>
              <w:jc w:val="center"/>
              <w:rPr>
                <w:rFonts w:ascii="Verdana" w:hAnsi="Verdana"/>
                <w:b/>
                <w:bCs/>
              </w:rPr>
            </w:pPr>
            <w:r w:rsidRPr="00A61430">
              <w:rPr>
                <w:rFonts w:ascii="Verdana" w:hAnsi="Verdana"/>
                <w:b/>
                <w:bCs/>
              </w:rPr>
              <w:t>2017</w:t>
            </w:r>
          </w:p>
        </w:tc>
        <w:tc>
          <w:tcPr>
            <w:tcW w:w="2160" w:type="dxa"/>
            <w:shd w:val="clear" w:color="auto" w:fill="DDD9C3" w:themeFill="background2" w:themeFillShade="E6"/>
          </w:tcPr>
          <w:p w:rsidR="00990CAA" w:rsidRPr="00A61430" w:rsidRDefault="00990CAA" w:rsidP="00833777">
            <w:pPr>
              <w:jc w:val="center"/>
              <w:rPr>
                <w:rFonts w:ascii="Verdana" w:hAnsi="Verdana"/>
                <w:b/>
                <w:bCs/>
              </w:rPr>
            </w:pPr>
            <w:r w:rsidRPr="00A61430">
              <w:rPr>
                <w:rFonts w:ascii="Verdana" w:hAnsi="Verdana"/>
                <w:b/>
                <w:bCs/>
              </w:rPr>
              <w:t>2018</w:t>
            </w:r>
          </w:p>
        </w:tc>
        <w:tc>
          <w:tcPr>
            <w:tcW w:w="2160" w:type="dxa"/>
            <w:shd w:val="clear" w:color="auto" w:fill="DDD9C3" w:themeFill="background2" w:themeFillShade="E6"/>
          </w:tcPr>
          <w:p w:rsidR="00990CAA" w:rsidRPr="00A61430" w:rsidRDefault="00990CAA" w:rsidP="00036C3C">
            <w:pPr>
              <w:jc w:val="center"/>
              <w:rPr>
                <w:rFonts w:ascii="Verdana" w:hAnsi="Verdana"/>
                <w:b/>
                <w:bCs/>
              </w:rPr>
            </w:pPr>
            <w:r>
              <w:rPr>
                <w:rFonts w:ascii="Verdana" w:hAnsi="Verdana"/>
                <w:b/>
                <w:bCs/>
              </w:rPr>
              <w:t>2019</w:t>
            </w:r>
          </w:p>
        </w:tc>
      </w:tr>
      <w:tr w:rsidR="00CF0B6A" w:rsidRPr="00A61430" w:rsidTr="00994BD0">
        <w:trPr>
          <w:trHeight w:val="273"/>
          <w:jc w:val="center"/>
        </w:trPr>
        <w:tc>
          <w:tcPr>
            <w:tcW w:w="2375" w:type="dxa"/>
            <w:shd w:val="clear" w:color="auto" w:fill="DDD9C3" w:themeFill="background2" w:themeFillShade="E6"/>
          </w:tcPr>
          <w:p w:rsidR="00CF0B6A" w:rsidRPr="00A61430" w:rsidRDefault="00CF0B6A" w:rsidP="00A61430">
            <w:pPr>
              <w:jc w:val="both"/>
              <w:rPr>
                <w:rFonts w:ascii="Verdana" w:hAnsi="Verdana"/>
                <w:b/>
                <w:bCs/>
              </w:rPr>
            </w:pPr>
            <w:r>
              <w:rPr>
                <w:rFonts w:ascii="Verdana" w:hAnsi="Verdana"/>
                <w:b/>
                <w:bCs/>
              </w:rPr>
              <w:t>Όγκος εμπορίου</w:t>
            </w:r>
          </w:p>
        </w:tc>
        <w:tc>
          <w:tcPr>
            <w:tcW w:w="2160" w:type="dxa"/>
            <w:shd w:val="clear" w:color="auto" w:fill="DDD9C3" w:themeFill="background2" w:themeFillShade="E6"/>
          </w:tcPr>
          <w:p w:rsidR="00CF0B6A" w:rsidRPr="00A61430" w:rsidRDefault="00CF0B6A" w:rsidP="00833777">
            <w:pPr>
              <w:jc w:val="center"/>
              <w:rPr>
                <w:rFonts w:ascii="Verdana" w:hAnsi="Verdana"/>
                <w:b/>
                <w:bCs/>
              </w:rPr>
            </w:pPr>
            <w:r>
              <w:rPr>
                <w:rFonts w:ascii="Verdana" w:hAnsi="Verdana"/>
                <w:b/>
                <w:bCs/>
              </w:rPr>
              <w:t>24.103</w:t>
            </w:r>
          </w:p>
        </w:tc>
        <w:tc>
          <w:tcPr>
            <w:tcW w:w="2160" w:type="dxa"/>
            <w:shd w:val="clear" w:color="auto" w:fill="DDD9C3" w:themeFill="background2" w:themeFillShade="E6"/>
          </w:tcPr>
          <w:p w:rsidR="00CF0B6A" w:rsidRPr="00A61430" w:rsidRDefault="00CF0B6A" w:rsidP="00833777">
            <w:pPr>
              <w:jc w:val="center"/>
              <w:rPr>
                <w:rFonts w:ascii="Verdana" w:hAnsi="Verdana"/>
                <w:b/>
                <w:bCs/>
              </w:rPr>
            </w:pPr>
            <w:r>
              <w:rPr>
                <w:rFonts w:ascii="Verdana" w:hAnsi="Verdana"/>
                <w:b/>
                <w:bCs/>
              </w:rPr>
              <w:t>30.955</w:t>
            </w:r>
          </w:p>
        </w:tc>
        <w:tc>
          <w:tcPr>
            <w:tcW w:w="2160" w:type="dxa"/>
            <w:shd w:val="clear" w:color="auto" w:fill="DDD9C3" w:themeFill="background2" w:themeFillShade="E6"/>
          </w:tcPr>
          <w:p w:rsidR="00CF0B6A" w:rsidRDefault="00CF0B6A" w:rsidP="00036C3C">
            <w:pPr>
              <w:jc w:val="center"/>
              <w:rPr>
                <w:rFonts w:ascii="Verdana" w:hAnsi="Verdana"/>
                <w:b/>
                <w:bCs/>
              </w:rPr>
            </w:pPr>
            <w:r>
              <w:rPr>
                <w:rFonts w:ascii="Verdana" w:hAnsi="Verdana"/>
                <w:b/>
                <w:bCs/>
              </w:rPr>
              <w:t>33.302</w:t>
            </w:r>
          </w:p>
        </w:tc>
      </w:tr>
      <w:tr w:rsidR="00990CAA" w:rsidRPr="00A61430" w:rsidTr="00994BD0">
        <w:trPr>
          <w:trHeight w:val="273"/>
          <w:jc w:val="center"/>
        </w:trPr>
        <w:tc>
          <w:tcPr>
            <w:tcW w:w="2375" w:type="dxa"/>
            <w:shd w:val="clear" w:color="auto" w:fill="DDD9C3" w:themeFill="background2" w:themeFillShade="E6"/>
          </w:tcPr>
          <w:p w:rsidR="00990CAA" w:rsidRPr="00374B80" w:rsidRDefault="00990CAA" w:rsidP="00A61430">
            <w:pPr>
              <w:jc w:val="both"/>
              <w:rPr>
                <w:rFonts w:ascii="Verdana" w:hAnsi="Verdana"/>
                <w:b/>
              </w:rPr>
            </w:pPr>
            <w:r w:rsidRPr="00374B80">
              <w:rPr>
                <w:rFonts w:ascii="Verdana" w:hAnsi="Verdana"/>
                <w:b/>
              </w:rPr>
              <w:t>Εισαγωγές</w:t>
            </w:r>
          </w:p>
        </w:tc>
        <w:tc>
          <w:tcPr>
            <w:tcW w:w="2160" w:type="dxa"/>
            <w:shd w:val="clear" w:color="auto" w:fill="DDD9C3" w:themeFill="background2" w:themeFillShade="E6"/>
          </w:tcPr>
          <w:p w:rsidR="00990CAA" w:rsidRPr="00A61430" w:rsidRDefault="00CF0B6A" w:rsidP="00833777">
            <w:pPr>
              <w:jc w:val="center"/>
              <w:rPr>
                <w:rFonts w:ascii="Verdana" w:hAnsi="Verdana"/>
                <w:b/>
                <w:bCs/>
              </w:rPr>
            </w:pPr>
            <w:r>
              <w:rPr>
                <w:rFonts w:ascii="Verdana" w:hAnsi="Verdana"/>
              </w:rPr>
              <w:t xml:space="preserve"> </w:t>
            </w:r>
            <w:r w:rsidR="00990CAA" w:rsidRPr="00A61430">
              <w:rPr>
                <w:rFonts w:ascii="Verdana" w:hAnsi="Verdana"/>
              </w:rPr>
              <w:t>8.</w:t>
            </w:r>
            <w:r w:rsidR="00990CAA">
              <w:rPr>
                <w:rFonts w:ascii="Verdana" w:hAnsi="Verdana"/>
              </w:rPr>
              <w:t>783</w:t>
            </w:r>
          </w:p>
        </w:tc>
        <w:tc>
          <w:tcPr>
            <w:tcW w:w="2160" w:type="dxa"/>
            <w:shd w:val="clear" w:color="auto" w:fill="DDD9C3" w:themeFill="background2" w:themeFillShade="E6"/>
          </w:tcPr>
          <w:p w:rsidR="00990CAA" w:rsidRPr="00A61430" w:rsidRDefault="00990CAA" w:rsidP="00833777">
            <w:pPr>
              <w:jc w:val="center"/>
              <w:rPr>
                <w:rFonts w:ascii="Verdana" w:hAnsi="Verdana"/>
              </w:rPr>
            </w:pPr>
            <w:r w:rsidRPr="00A61430">
              <w:rPr>
                <w:rFonts w:ascii="Verdana" w:hAnsi="Verdana"/>
              </w:rPr>
              <w:t>11.46</w:t>
            </w:r>
            <w:r w:rsidR="00CF0B6A">
              <w:rPr>
                <w:rFonts w:ascii="Verdana" w:hAnsi="Verdana"/>
              </w:rPr>
              <w:t>6</w:t>
            </w:r>
          </w:p>
        </w:tc>
        <w:tc>
          <w:tcPr>
            <w:tcW w:w="2160" w:type="dxa"/>
            <w:shd w:val="clear" w:color="auto" w:fill="DDD9C3" w:themeFill="background2" w:themeFillShade="E6"/>
          </w:tcPr>
          <w:p w:rsidR="00990CAA" w:rsidRPr="00A61430" w:rsidRDefault="00990CAA" w:rsidP="00036C3C">
            <w:pPr>
              <w:jc w:val="center"/>
              <w:rPr>
                <w:rFonts w:ascii="Verdana" w:hAnsi="Verdana"/>
              </w:rPr>
            </w:pPr>
            <w:r>
              <w:rPr>
                <w:rFonts w:ascii="Verdana" w:hAnsi="Verdana"/>
              </w:rPr>
              <w:t>13.667</w:t>
            </w:r>
          </w:p>
        </w:tc>
      </w:tr>
      <w:tr w:rsidR="00990CAA" w:rsidRPr="00A61430" w:rsidTr="00994BD0">
        <w:trPr>
          <w:trHeight w:val="285"/>
          <w:jc w:val="center"/>
        </w:trPr>
        <w:tc>
          <w:tcPr>
            <w:tcW w:w="2375" w:type="dxa"/>
            <w:shd w:val="clear" w:color="auto" w:fill="DDD9C3" w:themeFill="background2" w:themeFillShade="E6"/>
          </w:tcPr>
          <w:p w:rsidR="00990CAA" w:rsidRPr="00374B80" w:rsidRDefault="00990CAA" w:rsidP="00A61430">
            <w:pPr>
              <w:jc w:val="both"/>
              <w:rPr>
                <w:rFonts w:ascii="Verdana" w:hAnsi="Verdana"/>
                <w:b/>
              </w:rPr>
            </w:pPr>
            <w:r w:rsidRPr="00374B80">
              <w:rPr>
                <w:rFonts w:ascii="Verdana" w:hAnsi="Verdana"/>
                <w:b/>
              </w:rPr>
              <w:t>Εξαγωγές</w:t>
            </w:r>
          </w:p>
        </w:tc>
        <w:tc>
          <w:tcPr>
            <w:tcW w:w="2160" w:type="dxa"/>
            <w:shd w:val="clear" w:color="auto" w:fill="DDD9C3" w:themeFill="background2" w:themeFillShade="E6"/>
          </w:tcPr>
          <w:p w:rsidR="00990CAA" w:rsidRPr="00A61430" w:rsidRDefault="00990CAA" w:rsidP="00833777">
            <w:pPr>
              <w:jc w:val="center"/>
              <w:rPr>
                <w:rFonts w:ascii="Verdana" w:hAnsi="Verdana"/>
                <w:b/>
                <w:bCs/>
              </w:rPr>
            </w:pPr>
            <w:r>
              <w:rPr>
                <w:rFonts w:ascii="Verdana" w:hAnsi="Verdana"/>
              </w:rPr>
              <w:t>15.320</w:t>
            </w:r>
          </w:p>
        </w:tc>
        <w:tc>
          <w:tcPr>
            <w:tcW w:w="2160" w:type="dxa"/>
            <w:shd w:val="clear" w:color="auto" w:fill="DDD9C3" w:themeFill="background2" w:themeFillShade="E6"/>
          </w:tcPr>
          <w:p w:rsidR="00990CAA" w:rsidRPr="00A61430" w:rsidRDefault="00990CAA" w:rsidP="00CF0B6A">
            <w:pPr>
              <w:jc w:val="center"/>
              <w:rPr>
                <w:rFonts w:ascii="Verdana" w:hAnsi="Verdana"/>
              </w:rPr>
            </w:pPr>
            <w:r w:rsidRPr="00A61430">
              <w:rPr>
                <w:rFonts w:ascii="Verdana" w:hAnsi="Verdana"/>
              </w:rPr>
              <w:t>19.4</w:t>
            </w:r>
            <w:r w:rsidR="00CF0B6A">
              <w:rPr>
                <w:rFonts w:ascii="Verdana" w:hAnsi="Verdana"/>
              </w:rPr>
              <w:t>89</w:t>
            </w:r>
          </w:p>
        </w:tc>
        <w:tc>
          <w:tcPr>
            <w:tcW w:w="2160" w:type="dxa"/>
            <w:shd w:val="clear" w:color="auto" w:fill="DDD9C3" w:themeFill="background2" w:themeFillShade="E6"/>
          </w:tcPr>
          <w:p w:rsidR="00990CAA" w:rsidRPr="00A61430" w:rsidRDefault="00990CAA" w:rsidP="00CF0B6A">
            <w:pPr>
              <w:jc w:val="center"/>
              <w:rPr>
                <w:rFonts w:ascii="Verdana" w:hAnsi="Verdana"/>
              </w:rPr>
            </w:pPr>
            <w:r>
              <w:rPr>
                <w:rFonts w:ascii="Verdana" w:hAnsi="Verdana"/>
              </w:rPr>
              <w:t>19.</w:t>
            </w:r>
            <w:r w:rsidR="00CF0B6A">
              <w:rPr>
                <w:rFonts w:ascii="Verdana" w:hAnsi="Verdana"/>
              </w:rPr>
              <w:t>635</w:t>
            </w:r>
          </w:p>
        </w:tc>
      </w:tr>
      <w:tr w:rsidR="00990CAA" w:rsidRPr="00A61430" w:rsidTr="00994BD0">
        <w:trPr>
          <w:trHeight w:val="285"/>
          <w:jc w:val="center"/>
        </w:trPr>
        <w:tc>
          <w:tcPr>
            <w:tcW w:w="2375" w:type="dxa"/>
            <w:shd w:val="clear" w:color="auto" w:fill="DDD9C3" w:themeFill="background2" w:themeFillShade="E6"/>
          </w:tcPr>
          <w:p w:rsidR="00990CAA" w:rsidRPr="00374B80" w:rsidRDefault="00990CAA" w:rsidP="00A61430">
            <w:pPr>
              <w:jc w:val="both"/>
              <w:rPr>
                <w:rFonts w:ascii="Verdana" w:hAnsi="Verdana"/>
                <w:b/>
              </w:rPr>
            </w:pPr>
            <w:r w:rsidRPr="00374B80">
              <w:rPr>
                <w:rFonts w:ascii="Verdana" w:hAnsi="Verdana"/>
                <w:b/>
              </w:rPr>
              <w:t>Εμπορικό ισοζύγιο</w:t>
            </w:r>
          </w:p>
        </w:tc>
        <w:tc>
          <w:tcPr>
            <w:tcW w:w="2160" w:type="dxa"/>
            <w:shd w:val="clear" w:color="auto" w:fill="DDD9C3" w:themeFill="background2" w:themeFillShade="E6"/>
          </w:tcPr>
          <w:p w:rsidR="00990CAA" w:rsidRPr="00A61430" w:rsidRDefault="00CF0B6A" w:rsidP="00833777">
            <w:pPr>
              <w:jc w:val="center"/>
              <w:rPr>
                <w:rFonts w:ascii="Verdana" w:hAnsi="Verdana"/>
              </w:rPr>
            </w:pPr>
            <w:r>
              <w:rPr>
                <w:rFonts w:ascii="Verdana" w:hAnsi="Verdana"/>
              </w:rPr>
              <w:t xml:space="preserve"> </w:t>
            </w:r>
            <w:r w:rsidR="00E70913">
              <w:rPr>
                <w:rFonts w:ascii="Verdana" w:hAnsi="Verdana"/>
                <w:lang w:val="en-US"/>
              </w:rPr>
              <w:t>+</w:t>
            </w:r>
            <w:r>
              <w:rPr>
                <w:rFonts w:ascii="Verdana" w:hAnsi="Verdana"/>
              </w:rPr>
              <w:t xml:space="preserve"> </w:t>
            </w:r>
            <w:r w:rsidR="00990CAA">
              <w:rPr>
                <w:rFonts w:ascii="Verdana" w:hAnsi="Verdana"/>
              </w:rPr>
              <w:t>6.537</w:t>
            </w:r>
          </w:p>
        </w:tc>
        <w:tc>
          <w:tcPr>
            <w:tcW w:w="2160" w:type="dxa"/>
            <w:shd w:val="clear" w:color="auto" w:fill="DDD9C3" w:themeFill="background2" w:themeFillShade="E6"/>
          </w:tcPr>
          <w:p w:rsidR="00990CAA" w:rsidRPr="00A61430" w:rsidRDefault="00994BD0" w:rsidP="00833777">
            <w:pPr>
              <w:jc w:val="center"/>
              <w:rPr>
                <w:rFonts w:ascii="Verdana" w:hAnsi="Verdana"/>
              </w:rPr>
            </w:pPr>
            <w:r>
              <w:rPr>
                <w:rFonts w:ascii="Verdana" w:hAnsi="Verdana"/>
              </w:rPr>
              <w:t xml:space="preserve"> </w:t>
            </w:r>
            <w:r w:rsidR="00E70913">
              <w:rPr>
                <w:rFonts w:ascii="Verdana" w:hAnsi="Verdana"/>
                <w:lang w:val="en-US"/>
              </w:rPr>
              <w:t>+</w:t>
            </w:r>
            <w:r>
              <w:rPr>
                <w:rFonts w:ascii="Verdana" w:hAnsi="Verdana"/>
              </w:rPr>
              <w:t xml:space="preserve"> 8.023</w:t>
            </w:r>
          </w:p>
        </w:tc>
        <w:tc>
          <w:tcPr>
            <w:tcW w:w="2160" w:type="dxa"/>
            <w:shd w:val="clear" w:color="auto" w:fill="DDD9C3" w:themeFill="background2" w:themeFillShade="E6"/>
          </w:tcPr>
          <w:p w:rsidR="00990CAA" w:rsidRPr="00A61430" w:rsidRDefault="00CF0B6A" w:rsidP="00994BD0">
            <w:pPr>
              <w:jc w:val="center"/>
              <w:rPr>
                <w:rFonts w:ascii="Verdana" w:hAnsi="Verdana"/>
              </w:rPr>
            </w:pPr>
            <w:r>
              <w:rPr>
                <w:rFonts w:ascii="Verdana" w:hAnsi="Verdana"/>
              </w:rPr>
              <w:t xml:space="preserve"> </w:t>
            </w:r>
            <w:r w:rsidR="00E70913">
              <w:rPr>
                <w:rFonts w:ascii="Verdana" w:hAnsi="Verdana"/>
                <w:lang w:val="en-US"/>
              </w:rPr>
              <w:t>+</w:t>
            </w:r>
            <w:r>
              <w:rPr>
                <w:rFonts w:ascii="Verdana" w:hAnsi="Verdana"/>
              </w:rPr>
              <w:t xml:space="preserve"> </w:t>
            </w:r>
            <w:r w:rsidR="00990CAA">
              <w:rPr>
                <w:rFonts w:ascii="Verdana" w:hAnsi="Verdana"/>
              </w:rPr>
              <w:t>5.</w:t>
            </w:r>
            <w:r w:rsidR="00994BD0">
              <w:rPr>
                <w:rFonts w:ascii="Verdana" w:hAnsi="Verdana"/>
              </w:rPr>
              <w:t>968</w:t>
            </w:r>
          </w:p>
        </w:tc>
      </w:tr>
    </w:tbl>
    <w:p w:rsidR="0039485E" w:rsidRPr="00A61430" w:rsidRDefault="0039485E" w:rsidP="00A61430">
      <w:pPr>
        <w:jc w:val="both"/>
        <w:rPr>
          <w:rFonts w:ascii="Verdana" w:hAnsi="Verdana"/>
          <w:b/>
          <w:lang w:val="en-US"/>
        </w:rPr>
      </w:pPr>
      <w:r w:rsidRPr="00A61430">
        <w:rPr>
          <w:rFonts w:ascii="Verdana" w:hAnsi="Verdana"/>
          <w:b/>
        </w:rPr>
        <w:t>ΠΗΓΗ</w:t>
      </w:r>
      <w:r w:rsidRPr="00A61430">
        <w:rPr>
          <w:rFonts w:ascii="Verdana" w:hAnsi="Verdana"/>
          <w:b/>
          <w:lang w:val="en-US"/>
        </w:rPr>
        <w:t xml:space="preserve"> : </w:t>
      </w:r>
      <w:r w:rsidR="00735DE3" w:rsidRPr="00FA7D62">
        <w:rPr>
          <w:rFonts w:ascii="Verdana" w:hAnsi="Verdana"/>
        </w:rPr>
        <w:t>Στατιστική Υπηρεσία Αζερμπαϊτζάν</w:t>
      </w:r>
    </w:p>
    <w:p w:rsidR="00522C9F" w:rsidRDefault="00522C9F" w:rsidP="00FA7D62">
      <w:pPr>
        <w:jc w:val="both"/>
        <w:rPr>
          <w:rFonts w:ascii="Verdana" w:hAnsi="Verdana"/>
        </w:rPr>
      </w:pPr>
    </w:p>
    <w:p w:rsidR="00FA7D62" w:rsidRDefault="00FA7D62" w:rsidP="00FA7D62">
      <w:pPr>
        <w:jc w:val="both"/>
        <w:rPr>
          <w:rFonts w:ascii="Verdana" w:hAnsi="Verdana"/>
        </w:rPr>
      </w:pPr>
      <w:r w:rsidRPr="00FA7D62">
        <w:rPr>
          <w:rFonts w:ascii="Verdana" w:hAnsi="Verdana"/>
        </w:rPr>
        <w:t xml:space="preserve">Μια ιδιαιτερότητα της χώρας -και δη δομική- είναι ο </w:t>
      </w:r>
      <w:r w:rsidRPr="00FA7D62">
        <w:rPr>
          <w:rFonts w:ascii="Verdana" w:hAnsi="Verdana"/>
          <w:b/>
          <w:bCs/>
        </w:rPr>
        <w:t xml:space="preserve">περίκλειστος χαρακτήρας </w:t>
      </w:r>
      <w:r w:rsidRPr="00FA7D62">
        <w:rPr>
          <w:rFonts w:ascii="Verdana" w:hAnsi="Verdana"/>
        </w:rPr>
        <w:t>της, ο οποίος εξ ορισμού δυσχεραίνει πάρα πολύ το διεθνές εμπόριο και δη τις εισαγωγές (</w:t>
      </w:r>
      <w:r w:rsidRPr="00FA7D62">
        <w:rPr>
          <w:rFonts w:ascii="Verdana" w:hAnsi="Verdana"/>
          <w:i/>
          <w:iCs/>
        </w:rPr>
        <w:t>καθώς οι εξαγωγές -κατά βάση ενέργεια- διοχετεύονται στις ανοικτές θάλασσες μέσω τεράστιων αγωγών</w:t>
      </w:r>
      <w:r w:rsidRPr="00FA7D62">
        <w:rPr>
          <w:rFonts w:ascii="Verdana" w:hAnsi="Verdana"/>
        </w:rPr>
        <w:t>)</w:t>
      </w:r>
      <w:r w:rsidR="00E75E9A">
        <w:rPr>
          <w:rFonts w:ascii="Verdana" w:hAnsi="Verdana"/>
        </w:rPr>
        <w:t>, ενώ συνάμα αυξάνει το κόστος, αφού σχεδόν</w:t>
      </w:r>
      <w:r w:rsidRPr="00FA7D62">
        <w:rPr>
          <w:rFonts w:ascii="Verdana" w:hAnsi="Verdana"/>
        </w:rPr>
        <w:t xml:space="preserve"> το 55% των </w:t>
      </w:r>
      <w:proofErr w:type="spellStart"/>
      <w:r w:rsidRPr="00FA7D62">
        <w:rPr>
          <w:rFonts w:ascii="Verdana" w:hAnsi="Verdana"/>
        </w:rPr>
        <w:t>αζερικών</w:t>
      </w:r>
      <w:proofErr w:type="spellEnd"/>
      <w:r w:rsidRPr="00FA7D62">
        <w:rPr>
          <w:rFonts w:ascii="Verdana" w:hAnsi="Verdana"/>
        </w:rPr>
        <w:t xml:space="preserve"> εισαγωγών εισέρχονται στη χώρα οδικώς.</w:t>
      </w:r>
    </w:p>
    <w:p w:rsidR="00522C9F" w:rsidRDefault="00522C9F" w:rsidP="00FA7D62">
      <w:pPr>
        <w:jc w:val="both"/>
        <w:rPr>
          <w:rFonts w:ascii="Verdana" w:hAnsi="Verdana"/>
        </w:rPr>
      </w:pPr>
    </w:p>
    <w:p w:rsidR="00967EF1" w:rsidRDefault="00967EF1" w:rsidP="006457C2">
      <w:pPr>
        <w:pStyle w:val="aa"/>
        <w:numPr>
          <w:ilvl w:val="1"/>
          <w:numId w:val="36"/>
        </w:numPr>
        <w:jc w:val="both"/>
        <w:rPr>
          <w:rFonts w:ascii="Verdana" w:hAnsi="Verdana"/>
          <w:b/>
          <w:sz w:val="24"/>
          <w:szCs w:val="24"/>
        </w:rPr>
      </w:pPr>
      <w:r w:rsidRPr="006457C2">
        <w:rPr>
          <w:rFonts w:ascii="Verdana" w:hAnsi="Verdana"/>
          <w:b/>
          <w:sz w:val="24"/>
          <w:szCs w:val="24"/>
        </w:rPr>
        <w:t>ΑΖΕΡΙΚΕΣ ΕΞΑΓΩΓΕΣ</w:t>
      </w:r>
    </w:p>
    <w:p w:rsidR="00E708DF" w:rsidRDefault="00E708DF" w:rsidP="00E708DF">
      <w:pPr>
        <w:pStyle w:val="aa"/>
        <w:jc w:val="both"/>
        <w:rPr>
          <w:rFonts w:ascii="Verdana" w:hAnsi="Verdana"/>
          <w:b/>
          <w:sz w:val="24"/>
          <w:szCs w:val="24"/>
        </w:rPr>
      </w:pPr>
    </w:p>
    <w:p w:rsidR="00967EF1" w:rsidRDefault="00E708DF" w:rsidP="006D6169">
      <w:pPr>
        <w:jc w:val="both"/>
        <w:rPr>
          <w:rFonts w:ascii="Verdana" w:hAnsi="Verdana"/>
        </w:rPr>
      </w:pPr>
      <w:r>
        <w:rPr>
          <w:rFonts w:ascii="Verdana" w:hAnsi="Verdana"/>
          <w:b/>
        </w:rPr>
        <w:t xml:space="preserve">Από την ανάλυση των </w:t>
      </w:r>
      <w:proofErr w:type="spellStart"/>
      <w:r>
        <w:rPr>
          <w:rFonts w:ascii="Verdana" w:hAnsi="Verdana"/>
          <w:b/>
        </w:rPr>
        <w:t>αζερικών</w:t>
      </w:r>
      <w:proofErr w:type="spellEnd"/>
      <w:r>
        <w:rPr>
          <w:rFonts w:ascii="Verdana" w:hAnsi="Verdana"/>
          <w:b/>
        </w:rPr>
        <w:t xml:space="preserve"> εξαγωγών π</w:t>
      </w:r>
      <w:r w:rsidRPr="00781DFA">
        <w:rPr>
          <w:rFonts w:ascii="Verdana" w:hAnsi="Verdana"/>
          <w:b/>
        </w:rPr>
        <w:t>αρατηρούμε</w:t>
      </w:r>
      <w:r>
        <w:rPr>
          <w:rFonts w:ascii="Verdana" w:hAnsi="Verdana"/>
          <w:b/>
        </w:rPr>
        <w:t>,</w:t>
      </w:r>
      <w:r w:rsidRPr="00781DFA">
        <w:rPr>
          <w:rFonts w:ascii="Verdana" w:hAnsi="Verdana"/>
          <w:b/>
        </w:rPr>
        <w:t xml:space="preserve"> ότι η χώρα εξάγει ελάχιστα προϊόντα σε αξιόλογες ποσότητες/αξία, πλην των </w:t>
      </w:r>
      <w:r w:rsidRPr="00781DFA">
        <w:rPr>
          <w:rFonts w:ascii="Verdana" w:hAnsi="Verdana"/>
          <w:b/>
          <w:bCs/>
        </w:rPr>
        <w:t>πετρελαιοειδών</w:t>
      </w:r>
      <w:r w:rsidRPr="00781DFA">
        <w:rPr>
          <w:rFonts w:ascii="Verdana" w:hAnsi="Verdana"/>
          <w:b/>
        </w:rPr>
        <w:t>.</w:t>
      </w:r>
      <w:r w:rsidRPr="00FA7D62">
        <w:rPr>
          <w:rFonts w:ascii="Verdana" w:hAnsi="Verdana"/>
        </w:rPr>
        <w:t xml:space="preserve"> Το 2013, αυτά είχαν φτάσει στο ιστορικό υψηλό του 94% επί των συνολικών εξαγωγ</w:t>
      </w:r>
      <w:r w:rsidR="00447472">
        <w:rPr>
          <w:rFonts w:ascii="Verdana" w:hAnsi="Verdana"/>
        </w:rPr>
        <w:t xml:space="preserve">ών αγαθών, ενώ </w:t>
      </w:r>
      <w:r w:rsidR="00447472" w:rsidRPr="00E70913">
        <w:rPr>
          <w:rFonts w:ascii="Verdana" w:hAnsi="Verdana"/>
          <w:b/>
        </w:rPr>
        <w:t>το 2019</w:t>
      </w:r>
      <w:r w:rsidRPr="00E70913">
        <w:rPr>
          <w:rFonts w:ascii="Verdana" w:hAnsi="Verdana"/>
          <w:b/>
        </w:rPr>
        <w:t xml:space="preserve"> ανήλθαν σε 9</w:t>
      </w:r>
      <w:r w:rsidR="00447472" w:rsidRPr="00E70913">
        <w:rPr>
          <w:rFonts w:ascii="Verdana" w:hAnsi="Verdana"/>
          <w:b/>
        </w:rPr>
        <w:t>0</w:t>
      </w:r>
      <w:r w:rsidRPr="00E70913">
        <w:rPr>
          <w:rFonts w:ascii="Verdana" w:hAnsi="Verdana"/>
          <w:b/>
        </w:rPr>
        <w:t>%.</w:t>
      </w:r>
      <w:r w:rsidRPr="00FA7D62">
        <w:rPr>
          <w:rFonts w:ascii="Verdana" w:hAnsi="Verdana"/>
        </w:rPr>
        <w:t xml:space="preserve"> Η ανάγκη διαφοροποίησης των εξαγωγών παραμένει ακόμη και σήμερα επιτακτική. Πλην της ενέργειας, η χώρα είναι εξαγωγέας </w:t>
      </w:r>
      <w:r w:rsidRPr="00FA7D62">
        <w:rPr>
          <w:rFonts w:ascii="Verdana" w:hAnsi="Verdana"/>
          <w:b/>
          <w:bCs/>
        </w:rPr>
        <w:t>φρούτων-λαχανικών</w:t>
      </w:r>
      <w:r w:rsidRPr="00FA7D62">
        <w:rPr>
          <w:rFonts w:ascii="Verdana" w:hAnsi="Verdana"/>
        </w:rPr>
        <w:t>,  ειδικά, δε, προς τη Ρωσία (</w:t>
      </w:r>
      <w:r w:rsidRPr="00FA7D62">
        <w:rPr>
          <w:rFonts w:ascii="Verdana" w:hAnsi="Verdana"/>
          <w:i/>
          <w:iCs/>
        </w:rPr>
        <w:t xml:space="preserve">καθώς η </w:t>
      </w:r>
      <w:proofErr w:type="spellStart"/>
      <w:r w:rsidRPr="00FA7D62">
        <w:rPr>
          <w:rFonts w:ascii="Verdana" w:hAnsi="Verdana"/>
          <w:i/>
          <w:iCs/>
        </w:rPr>
        <w:t>φρουταγορά</w:t>
      </w:r>
      <w:proofErr w:type="spellEnd"/>
      <w:r w:rsidRPr="00FA7D62">
        <w:rPr>
          <w:rFonts w:ascii="Verdana" w:hAnsi="Verdana"/>
          <w:i/>
          <w:iCs/>
        </w:rPr>
        <w:t xml:space="preserve"> της Μόσχας, μεγαλούπολης 15 εκ. κατοίκων, ελέγχεται σε πολύ μεγάλο βαθμό από </w:t>
      </w:r>
      <w:proofErr w:type="spellStart"/>
      <w:r w:rsidRPr="00FA7D62">
        <w:rPr>
          <w:rFonts w:ascii="Verdana" w:hAnsi="Verdana"/>
          <w:i/>
          <w:iCs/>
        </w:rPr>
        <w:t>Αζέρους</w:t>
      </w:r>
      <w:proofErr w:type="spellEnd"/>
      <w:r w:rsidRPr="00FA7D62">
        <w:rPr>
          <w:rFonts w:ascii="Verdana" w:hAnsi="Verdana"/>
          <w:i/>
          <w:iCs/>
        </w:rPr>
        <w:t xml:space="preserve"> χονδρεμπόρους</w:t>
      </w:r>
      <w:r w:rsidR="00522C9F">
        <w:rPr>
          <w:rFonts w:ascii="Verdana" w:hAnsi="Verdana"/>
        </w:rPr>
        <w:t>): το 2019</w:t>
      </w:r>
      <w:r w:rsidRPr="00FA7D62">
        <w:rPr>
          <w:rFonts w:ascii="Verdana" w:hAnsi="Verdana"/>
        </w:rPr>
        <w:t xml:space="preserve"> οι σχετικές εξαγωγές </w:t>
      </w:r>
      <w:r>
        <w:rPr>
          <w:rFonts w:ascii="Verdana" w:hAnsi="Verdana"/>
        </w:rPr>
        <w:t xml:space="preserve">ξεπέρασαν τα </w:t>
      </w:r>
      <w:r w:rsidR="00522C9F">
        <w:rPr>
          <w:rFonts w:ascii="Verdana" w:hAnsi="Verdana"/>
        </w:rPr>
        <w:t>625,9</w:t>
      </w:r>
      <w:r>
        <w:rPr>
          <w:rFonts w:ascii="Verdana" w:hAnsi="Verdana"/>
        </w:rPr>
        <w:t xml:space="preserve"> εκατ.</w:t>
      </w:r>
      <w:r w:rsidRPr="00FA7D62">
        <w:rPr>
          <w:rFonts w:ascii="Verdana" w:hAnsi="Verdana"/>
        </w:rPr>
        <w:t xml:space="preserve"> $, ενώ τα τελευταία χρόνια έχουν </w:t>
      </w:r>
      <w:r>
        <w:rPr>
          <w:rFonts w:ascii="Verdana" w:hAnsi="Verdana"/>
        </w:rPr>
        <w:t>αναπτυχθεί</w:t>
      </w:r>
      <w:r w:rsidRPr="00FA7D62">
        <w:rPr>
          <w:rFonts w:ascii="Verdana" w:hAnsi="Verdana"/>
        </w:rPr>
        <w:t xml:space="preserve"> </w:t>
      </w:r>
      <w:r>
        <w:rPr>
          <w:rFonts w:ascii="Verdana" w:hAnsi="Verdana"/>
        </w:rPr>
        <w:t>σημαντικά</w:t>
      </w:r>
      <w:r w:rsidRPr="00FA7D62">
        <w:rPr>
          <w:rFonts w:ascii="Verdana" w:hAnsi="Verdana"/>
        </w:rPr>
        <w:t xml:space="preserve"> στη χερσόνησο του </w:t>
      </w:r>
      <w:proofErr w:type="spellStart"/>
      <w:r w:rsidRPr="00FA7D62">
        <w:rPr>
          <w:rFonts w:ascii="Verdana" w:hAnsi="Verdana"/>
        </w:rPr>
        <w:t>Αμπσερόν</w:t>
      </w:r>
      <w:proofErr w:type="spellEnd"/>
      <w:r w:rsidRPr="00FA7D62">
        <w:rPr>
          <w:rFonts w:ascii="Verdana" w:hAnsi="Verdana"/>
        </w:rPr>
        <w:t xml:space="preserve"> θερμοκήπια φράουλας και ντομάτας, και δη με μέθοδο υδροπονίας (</w:t>
      </w:r>
      <w:r w:rsidRPr="00FA7D62">
        <w:rPr>
          <w:rFonts w:ascii="Verdana" w:hAnsi="Verdana"/>
          <w:i/>
          <w:iCs/>
        </w:rPr>
        <w:t>μακράν</w:t>
      </w:r>
      <w:r w:rsidRPr="00FA7D62">
        <w:rPr>
          <w:rFonts w:ascii="Verdana" w:hAnsi="Verdana"/>
        </w:rPr>
        <w:t xml:space="preserve"> </w:t>
      </w:r>
      <w:r w:rsidRPr="00FA7D62">
        <w:rPr>
          <w:rFonts w:ascii="Verdana" w:hAnsi="Verdana"/>
          <w:i/>
          <w:iCs/>
        </w:rPr>
        <w:t>τα</w:t>
      </w:r>
      <w:r w:rsidR="00705E9A">
        <w:rPr>
          <w:rFonts w:ascii="Verdana" w:hAnsi="Verdana"/>
          <w:i/>
          <w:iCs/>
        </w:rPr>
        <w:t xml:space="preserve"> δύο πιο δημοφιλή προϊόντα τους </w:t>
      </w:r>
      <w:r w:rsidRPr="00FA7D62">
        <w:rPr>
          <w:rFonts w:ascii="Verdana" w:hAnsi="Verdana"/>
          <w:i/>
          <w:iCs/>
        </w:rPr>
        <w:t>στη ρωσική αγορά</w:t>
      </w:r>
      <w:r w:rsidR="00705E9A">
        <w:rPr>
          <w:rFonts w:ascii="Verdana" w:hAnsi="Verdana"/>
        </w:rPr>
        <w:t>).</w:t>
      </w:r>
      <w:r w:rsidRPr="00FA7D62">
        <w:rPr>
          <w:rFonts w:ascii="Verdana" w:hAnsi="Verdana"/>
        </w:rPr>
        <w:t>Τρίτο εξαγώγιμο προϊόν της χώρας</w:t>
      </w:r>
      <w:r w:rsidRPr="006D7190">
        <w:rPr>
          <w:rFonts w:ascii="Verdana" w:hAnsi="Verdana"/>
        </w:rPr>
        <w:t xml:space="preserve"> </w:t>
      </w:r>
      <w:r>
        <w:rPr>
          <w:rFonts w:ascii="Verdana" w:hAnsi="Verdana"/>
        </w:rPr>
        <w:t xml:space="preserve">είναι </w:t>
      </w:r>
      <w:r w:rsidRPr="00CA6913">
        <w:rPr>
          <w:rFonts w:ascii="Verdana" w:hAnsi="Verdana"/>
          <w:b/>
        </w:rPr>
        <w:t>ε</w:t>
      </w:r>
      <w:r>
        <w:rPr>
          <w:rFonts w:ascii="Verdana" w:hAnsi="Verdana"/>
          <w:b/>
        </w:rPr>
        <w:t>πεξεργασμένα μέταλλα</w:t>
      </w:r>
      <w:r w:rsidRPr="00FA7D62">
        <w:rPr>
          <w:rFonts w:ascii="Verdana" w:hAnsi="Verdana"/>
        </w:rPr>
        <w:t xml:space="preserve"> λόγω</w:t>
      </w:r>
      <w:r w:rsidRPr="006D7190">
        <w:rPr>
          <w:rFonts w:ascii="Verdana" w:hAnsi="Verdana"/>
        </w:rPr>
        <w:t>,</w:t>
      </w:r>
      <w:r w:rsidRPr="00FA7D62">
        <w:rPr>
          <w:rFonts w:ascii="Verdana" w:hAnsi="Verdana"/>
        </w:rPr>
        <w:t xml:space="preserve"> </w:t>
      </w:r>
      <w:r>
        <w:rPr>
          <w:rFonts w:ascii="Verdana" w:hAnsi="Verdana"/>
        </w:rPr>
        <w:t>κυρίως</w:t>
      </w:r>
      <w:r w:rsidRPr="006D7190">
        <w:rPr>
          <w:rFonts w:ascii="Verdana" w:hAnsi="Verdana"/>
        </w:rPr>
        <w:t>,</w:t>
      </w:r>
      <w:r>
        <w:rPr>
          <w:rFonts w:ascii="Verdana" w:hAnsi="Verdana"/>
        </w:rPr>
        <w:t xml:space="preserve"> </w:t>
      </w:r>
      <w:r w:rsidRPr="00FA7D62">
        <w:rPr>
          <w:rFonts w:ascii="Verdana" w:hAnsi="Verdana"/>
        </w:rPr>
        <w:t>του πολύ μεγάλου εργοστασίου</w:t>
      </w:r>
      <w:r>
        <w:rPr>
          <w:rFonts w:ascii="Verdana" w:hAnsi="Verdana"/>
        </w:rPr>
        <w:t xml:space="preserve"> αλουμινίου,</w:t>
      </w:r>
      <w:r w:rsidRPr="00FA7D62">
        <w:rPr>
          <w:rFonts w:ascii="Verdana" w:hAnsi="Verdana"/>
        </w:rPr>
        <w:t xml:space="preserve"> το οποίο λειτουργεί στην πόλη </w:t>
      </w:r>
      <w:proofErr w:type="spellStart"/>
      <w:r w:rsidRPr="00FA7D62">
        <w:rPr>
          <w:rFonts w:ascii="Verdana" w:hAnsi="Verdana"/>
        </w:rPr>
        <w:t>Γκάντζα</w:t>
      </w:r>
      <w:proofErr w:type="spellEnd"/>
      <w:r w:rsidRPr="00FA7D62">
        <w:rPr>
          <w:rFonts w:ascii="Verdana" w:hAnsi="Verdana"/>
        </w:rPr>
        <w:t xml:space="preserve"> από τον Οκτώβριο του 2011, υπό την εταιρική ομπρέλα της «DETAL HOLDING». Ακολουθ</w:t>
      </w:r>
      <w:r>
        <w:rPr>
          <w:rFonts w:ascii="Verdana" w:hAnsi="Verdana"/>
        </w:rPr>
        <w:t>ούν με μικρότερα ποσοστά κλωστοϋφαντουργικά και χημικά προϊόντα.</w:t>
      </w:r>
    </w:p>
    <w:tbl>
      <w:tblPr>
        <w:tblStyle w:val="a9"/>
        <w:tblW w:w="0" w:type="auto"/>
        <w:tblInd w:w="378" w:type="dxa"/>
        <w:shd w:val="clear" w:color="auto" w:fill="DDD9C3" w:themeFill="background2" w:themeFillShade="E6"/>
        <w:tblLook w:val="04A0" w:firstRow="1" w:lastRow="0" w:firstColumn="1" w:lastColumn="0" w:noHBand="0" w:noVBand="1"/>
      </w:tblPr>
      <w:tblGrid>
        <w:gridCol w:w="8370"/>
      </w:tblGrid>
      <w:tr w:rsidR="006457C2" w:rsidTr="00E708DF">
        <w:tc>
          <w:tcPr>
            <w:tcW w:w="8370" w:type="dxa"/>
            <w:shd w:val="clear" w:color="auto" w:fill="DDD9C3" w:themeFill="background2" w:themeFillShade="E6"/>
          </w:tcPr>
          <w:p w:rsidR="006457C2" w:rsidRDefault="006457C2" w:rsidP="00E708DF">
            <w:pPr>
              <w:jc w:val="center"/>
              <w:rPr>
                <w:rFonts w:ascii="Verdana" w:hAnsi="Verdana"/>
                <w:b/>
                <w:bCs/>
              </w:rPr>
            </w:pPr>
            <w:r w:rsidRPr="00FA7D62">
              <w:rPr>
                <w:rFonts w:ascii="Verdana" w:hAnsi="Verdana"/>
                <w:b/>
                <w:bCs/>
              </w:rPr>
              <w:lastRenderedPageBreak/>
              <w:t xml:space="preserve">Οι </w:t>
            </w:r>
            <w:proofErr w:type="spellStart"/>
            <w:r>
              <w:rPr>
                <w:rFonts w:ascii="Verdana" w:hAnsi="Verdana"/>
                <w:b/>
                <w:bCs/>
              </w:rPr>
              <w:t>σημαντικώτερες</w:t>
            </w:r>
            <w:proofErr w:type="spellEnd"/>
            <w:r>
              <w:rPr>
                <w:rFonts w:ascii="Verdana" w:hAnsi="Verdana"/>
                <w:b/>
                <w:bCs/>
              </w:rPr>
              <w:t xml:space="preserve"> κατηγορίες </w:t>
            </w:r>
            <w:proofErr w:type="spellStart"/>
            <w:r>
              <w:rPr>
                <w:rFonts w:ascii="Verdana" w:hAnsi="Verdana"/>
                <w:b/>
                <w:bCs/>
              </w:rPr>
              <w:t>αζερικών</w:t>
            </w:r>
            <w:proofErr w:type="spellEnd"/>
            <w:r>
              <w:rPr>
                <w:rFonts w:ascii="Verdana" w:hAnsi="Verdana"/>
                <w:b/>
                <w:bCs/>
              </w:rPr>
              <w:t xml:space="preserve"> εξαγωγών </w:t>
            </w:r>
            <w:r w:rsidRPr="00781DFA">
              <w:rPr>
                <w:rFonts w:ascii="Verdana" w:hAnsi="Verdana"/>
                <w:b/>
                <w:bCs/>
              </w:rPr>
              <w:t xml:space="preserve">το </w:t>
            </w:r>
            <w:r w:rsidR="005E44D9">
              <w:rPr>
                <w:rFonts w:ascii="Verdana" w:hAnsi="Verdana"/>
                <w:b/>
              </w:rPr>
              <w:t>2019</w:t>
            </w:r>
            <w:r>
              <w:rPr>
                <w:rFonts w:ascii="Verdana" w:hAnsi="Verdana"/>
                <w:b/>
              </w:rPr>
              <w:t xml:space="preserve"> </w:t>
            </w:r>
          </w:p>
        </w:tc>
      </w:tr>
    </w:tbl>
    <w:p w:rsidR="006457C2" w:rsidRPr="00781DFA" w:rsidRDefault="006457C2" w:rsidP="00724B12">
      <w:pPr>
        <w:jc w:val="center"/>
        <w:rPr>
          <w:rFonts w:ascii="Verdana" w:hAnsi="Verdana"/>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0A0" w:firstRow="1" w:lastRow="0" w:firstColumn="1" w:lastColumn="0" w:noHBand="0" w:noVBand="0"/>
      </w:tblPr>
      <w:tblGrid>
        <w:gridCol w:w="6462"/>
        <w:gridCol w:w="2446"/>
      </w:tblGrid>
      <w:tr w:rsidR="00FA7D62" w:rsidRPr="00FA7D62" w:rsidTr="001A4DFF">
        <w:trPr>
          <w:trHeight w:val="368"/>
        </w:trPr>
        <w:tc>
          <w:tcPr>
            <w:tcW w:w="6614" w:type="dxa"/>
            <w:shd w:val="clear" w:color="auto" w:fill="DDD9C3" w:themeFill="background2" w:themeFillShade="E6"/>
          </w:tcPr>
          <w:p w:rsidR="00FA7D62" w:rsidRPr="00FA7D62" w:rsidRDefault="00FA7D62" w:rsidP="008B5A5A">
            <w:pPr>
              <w:jc w:val="center"/>
              <w:rPr>
                <w:rFonts w:ascii="Verdana" w:hAnsi="Verdana"/>
              </w:rPr>
            </w:pPr>
          </w:p>
        </w:tc>
        <w:tc>
          <w:tcPr>
            <w:tcW w:w="2476" w:type="dxa"/>
            <w:shd w:val="clear" w:color="auto" w:fill="DDD9C3" w:themeFill="background2" w:themeFillShade="E6"/>
          </w:tcPr>
          <w:p w:rsidR="00FA7D62" w:rsidRPr="00465B57" w:rsidRDefault="00FA7D62" w:rsidP="003558CC">
            <w:pPr>
              <w:jc w:val="right"/>
              <w:rPr>
                <w:rFonts w:ascii="Verdana" w:hAnsi="Verdana"/>
                <w:b/>
              </w:rPr>
            </w:pPr>
            <w:r w:rsidRPr="00465B57">
              <w:rPr>
                <w:rFonts w:ascii="Verdana" w:hAnsi="Verdana"/>
                <w:b/>
              </w:rPr>
              <w:t>Χιλιάδες $</w:t>
            </w:r>
          </w:p>
        </w:tc>
      </w:tr>
      <w:tr w:rsidR="00FA7D62" w:rsidRPr="00FA7D62" w:rsidTr="00465B57">
        <w:tc>
          <w:tcPr>
            <w:tcW w:w="6614" w:type="dxa"/>
            <w:shd w:val="clear" w:color="auto" w:fill="DDD9C3" w:themeFill="background2" w:themeFillShade="E6"/>
          </w:tcPr>
          <w:p w:rsidR="00FA7D62" w:rsidRPr="00FA7D62" w:rsidRDefault="00FA7D62" w:rsidP="003558CC">
            <w:pPr>
              <w:rPr>
                <w:rFonts w:ascii="Verdana" w:hAnsi="Verdana"/>
              </w:rPr>
            </w:pPr>
            <w:r w:rsidRPr="00FA7D62">
              <w:rPr>
                <w:rFonts w:ascii="Verdana" w:hAnsi="Verdana"/>
              </w:rPr>
              <w:t>Ορυκτά καύσιμα και συναφή προϊόντα</w:t>
            </w:r>
          </w:p>
        </w:tc>
        <w:tc>
          <w:tcPr>
            <w:tcW w:w="2476" w:type="dxa"/>
            <w:shd w:val="clear" w:color="auto" w:fill="DDD9C3" w:themeFill="background2" w:themeFillShade="E6"/>
          </w:tcPr>
          <w:p w:rsidR="00FA7D62" w:rsidRPr="00FA7D62" w:rsidRDefault="00CF58B7" w:rsidP="00522C9F">
            <w:pPr>
              <w:jc w:val="right"/>
              <w:rPr>
                <w:rFonts w:ascii="Verdana" w:hAnsi="Verdana"/>
              </w:rPr>
            </w:pPr>
            <w:r>
              <w:rPr>
                <w:rFonts w:ascii="Verdana" w:hAnsi="Verdana"/>
              </w:rPr>
              <w:t>17.</w:t>
            </w:r>
            <w:r w:rsidR="00522C9F">
              <w:rPr>
                <w:rFonts w:ascii="Verdana" w:hAnsi="Verdana"/>
              </w:rPr>
              <w:t>800</w:t>
            </w:r>
            <w:r>
              <w:rPr>
                <w:rFonts w:ascii="Verdana" w:hAnsi="Verdana"/>
              </w:rPr>
              <w:t>.</w:t>
            </w:r>
            <w:r w:rsidR="00522C9F">
              <w:rPr>
                <w:rFonts w:ascii="Verdana" w:hAnsi="Verdana"/>
              </w:rPr>
              <w:t>170</w:t>
            </w:r>
          </w:p>
        </w:tc>
      </w:tr>
      <w:tr w:rsidR="00FA7D62" w:rsidRPr="00FA7D62" w:rsidTr="00465B57">
        <w:tc>
          <w:tcPr>
            <w:tcW w:w="6614" w:type="dxa"/>
            <w:shd w:val="clear" w:color="auto" w:fill="DDD9C3" w:themeFill="background2" w:themeFillShade="E6"/>
          </w:tcPr>
          <w:p w:rsidR="00FA7D62" w:rsidRPr="00FA7D62" w:rsidRDefault="00CF58B7" w:rsidP="003558CC">
            <w:pPr>
              <w:rPr>
                <w:rFonts w:ascii="Verdana" w:hAnsi="Verdana"/>
              </w:rPr>
            </w:pPr>
            <w:r>
              <w:rPr>
                <w:rFonts w:ascii="Verdana" w:hAnsi="Verdana"/>
              </w:rPr>
              <w:t>Τρόφιμα και ζώα ζωντανά</w:t>
            </w:r>
          </w:p>
        </w:tc>
        <w:tc>
          <w:tcPr>
            <w:tcW w:w="2476" w:type="dxa"/>
            <w:shd w:val="clear" w:color="auto" w:fill="DDD9C3" w:themeFill="background2" w:themeFillShade="E6"/>
          </w:tcPr>
          <w:p w:rsidR="00FA7D62" w:rsidRPr="00FA7D62" w:rsidRDefault="00522C9F" w:rsidP="003558CC">
            <w:pPr>
              <w:jc w:val="right"/>
              <w:rPr>
                <w:rFonts w:ascii="Verdana" w:hAnsi="Verdana"/>
              </w:rPr>
            </w:pPr>
            <w:r>
              <w:rPr>
                <w:rFonts w:ascii="Verdana" w:hAnsi="Verdana"/>
              </w:rPr>
              <w:t>709.569</w:t>
            </w:r>
          </w:p>
        </w:tc>
      </w:tr>
      <w:tr w:rsidR="00FA7D62" w:rsidRPr="00FA7D62" w:rsidTr="00465B57">
        <w:tc>
          <w:tcPr>
            <w:tcW w:w="6614" w:type="dxa"/>
            <w:shd w:val="clear" w:color="auto" w:fill="DDD9C3" w:themeFill="background2" w:themeFillShade="E6"/>
          </w:tcPr>
          <w:p w:rsidR="00FA7D62" w:rsidRPr="00FA7D62" w:rsidRDefault="00CF58B7" w:rsidP="003558CC">
            <w:pPr>
              <w:rPr>
                <w:rFonts w:ascii="Verdana" w:hAnsi="Verdana"/>
              </w:rPr>
            </w:pPr>
            <w:r>
              <w:rPr>
                <w:rFonts w:ascii="Verdana" w:hAnsi="Verdana"/>
              </w:rPr>
              <w:t>Βιομηχανικά προϊόντα</w:t>
            </w:r>
          </w:p>
        </w:tc>
        <w:tc>
          <w:tcPr>
            <w:tcW w:w="2476" w:type="dxa"/>
            <w:shd w:val="clear" w:color="auto" w:fill="DDD9C3" w:themeFill="background2" w:themeFillShade="E6"/>
          </w:tcPr>
          <w:p w:rsidR="00FA7D62" w:rsidRPr="00FA7D62" w:rsidRDefault="00522C9F" w:rsidP="003558CC">
            <w:pPr>
              <w:jc w:val="right"/>
              <w:rPr>
                <w:rFonts w:ascii="Verdana" w:hAnsi="Verdana"/>
              </w:rPr>
            </w:pPr>
            <w:r>
              <w:rPr>
                <w:rFonts w:ascii="Verdana" w:hAnsi="Verdana"/>
              </w:rPr>
              <w:t>324.750</w:t>
            </w:r>
          </w:p>
        </w:tc>
      </w:tr>
      <w:tr w:rsidR="00FA7D62" w:rsidRPr="00FA7D62" w:rsidTr="00465B57">
        <w:tc>
          <w:tcPr>
            <w:tcW w:w="6614" w:type="dxa"/>
            <w:shd w:val="clear" w:color="auto" w:fill="DDD9C3" w:themeFill="background2" w:themeFillShade="E6"/>
          </w:tcPr>
          <w:p w:rsidR="00FA7D62" w:rsidRPr="00FA7D62" w:rsidRDefault="00CF58B7" w:rsidP="003558CC">
            <w:pPr>
              <w:rPr>
                <w:rFonts w:ascii="Verdana" w:hAnsi="Verdana"/>
              </w:rPr>
            </w:pPr>
            <w:r>
              <w:rPr>
                <w:rFonts w:ascii="Verdana" w:hAnsi="Verdana"/>
              </w:rPr>
              <w:t>Χημικά προϊόντα</w:t>
            </w:r>
          </w:p>
        </w:tc>
        <w:tc>
          <w:tcPr>
            <w:tcW w:w="2476" w:type="dxa"/>
            <w:shd w:val="clear" w:color="auto" w:fill="DDD9C3" w:themeFill="background2" w:themeFillShade="E6"/>
          </w:tcPr>
          <w:p w:rsidR="00FA7D62" w:rsidRPr="00FA7D62" w:rsidRDefault="00522C9F" w:rsidP="003558CC">
            <w:pPr>
              <w:jc w:val="right"/>
              <w:rPr>
                <w:rFonts w:ascii="Verdana" w:hAnsi="Verdana"/>
              </w:rPr>
            </w:pPr>
            <w:r>
              <w:rPr>
                <w:rFonts w:ascii="Verdana" w:hAnsi="Verdana"/>
              </w:rPr>
              <w:t>279.531</w:t>
            </w:r>
          </w:p>
        </w:tc>
      </w:tr>
      <w:tr w:rsidR="00FA7D62" w:rsidRPr="00FA7D62" w:rsidTr="00465B57">
        <w:tc>
          <w:tcPr>
            <w:tcW w:w="6614" w:type="dxa"/>
            <w:shd w:val="clear" w:color="auto" w:fill="DDD9C3" w:themeFill="background2" w:themeFillShade="E6"/>
          </w:tcPr>
          <w:p w:rsidR="00FA7D62" w:rsidRPr="00FA7D62" w:rsidRDefault="00724B12" w:rsidP="003558CC">
            <w:pPr>
              <w:rPr>
                <w:rFonts w:ascii="Verdana" w:hAnsi="Verdana"/>
              </w:rPr>
            </w:pPr>
            <w:r>
              <w:rPr>
                <w:rFonts w:ascii="Verdana" w:hAnsi="Verdana"/>
              </w:rPr>
              <w:t>Πρώτες ύλες</w:t>
            </w:r>
          </w:p>
        </w:tc>
        <w:tc>
          <w:tcPr>
            <w:tcW w:w="2476" w:type="dxa"/>
            <w:shd w:val="clear" w:color="auto" w:fill="DDD9C3" w:themeFill="background2" w:themeFillShade="E6"/>
          </w:tcPr>
          <w:p w:rsidR="00FA7D62" w:rsidRPr="00F202DB" w:rsidRDefault="00F202DB" w:rsidP="003558CC">
            <w:pPr>
              <w:jc w:val="right"/>
              <w:rPr>
                <w:rFonts w:ascii="Verdana" w:hAnsi="Verdana"/>
                <w:lang w:val="en-US"/>
              </w:rPr>
            </w:pPr>
            <w:r>
              <w:rPr>
                <w:rFonts w:ascii="Verdana" w:hAnsi="Verdana"/>
                <w:lang w:val="en-US"/>
              </w:rPr>
              <w:t>171.594</w:t>
            </w:r>
          </w:p>
        </w:tc>
      </w:tr>
    </w:tbl>
    <w:p w:rsidR="00FA7D62" w:rsidRPr="00FA7D62" w:rsidRDefault="00FA7D62" w:rsidP="00FA7D62">
      <w:pPr>
        <w:jc w:val="both"/>
        <w:rPr>
          <w:rFonts w:ascii="Verdana" w:hAnsi="Verdana"/>
        </w:rPr>
      </w:pPr>
      <w:r w:rsidRPr="00735DE3">
        <w:rPr>
          <w:rFonts w:ascii="Verdana" w:hAnsi="Verdana"/>
          <w:b/>
        </w:rPr>
        <w:t>Πηγή:</w:t>
      </w:r>
      <w:r w:rsidRPr="00FA7D62">
        <w:rPr>
          <w:rFonts w:ascii="Verdana" w:hAnsi="Verdana"/>
        </w:rPr>
        <w:t xml:space="preserve"> Στατιστική Υπηρεσία Αζερμπαϊτζάν</w:t>
      </w:r>
    </w:p>
    <w:p w:rsidR="00E708DF" w:rsidRDefault="00E708DF" w:rsidP="00E708DF">
      <w:pPr>
        <w:jc w:val="both"/>
        <w:rPr>
          <w:rFonts w:ascii="Verdana" w:hAnsi="Verdana"/>
        </w:rPr>
      </w:pPr>
      <w:r>
        <w:rPr>
          <w:rFonts w:ascii="Verdana" w:hAnsi="Verdana"/>
        </w:rPr>
        <w:t>Τρείς</w:t>
      </w:r>
      <w:r w:rsidRPr="00FA7D62">
        <w:rPr>
          <w:rFonts w:ascii="Verdana" w:hAnsi="Verdana"/>
        </w:rPr>
        <w:t xml:space="preserve"> από τους δέκα σημαντικότερους </w:t>
      </w:r>
      <w:r>
        <w:rPr>
          <w:rFonts w:ascii="Verdana" w:hAnsi="Verdana"/>
        </w:rPr>
        <w:t xml:space="preserve">αγοραστές </w:t>
      </w:r>
      <w:proofErr w:type="spellStart"/>
      <w:r>
        <w:rPr>
          <w:rFonts w:ascii="Verdana" w:hAnsi="Verdana"/>
        </w:rPr>
        <w:t>αζερικών</w:t>
      </w:r>
      <w:proofErr w:type="spellEnd"/>
      <w:r>
        <w:rPr>
          <w:rFonts w:ascii="Verdana" w:hAnsi="Verdana"/>
        </w:rPr>
        <w:t xml:space="preserve"> προϊόντων </w:t>
      </w:r>
      <w:r w:rsidRPr="00FA7D62">
        <w:rPr>
          <w:rFonts w:ascii="Verdana" w:hAnsi="Verdana"/>
        </w:rPr>
        <w:t xml:space="preserve">είναι </w:t>
      </w:r>
      <w:r>
        <w:rPr>
          <w:rFonts w:ascii="Verdana" w:hAnsi="Verdana"/>
        </w:rPr>
        <w:t xml:space="preserve">χώρες της Ευρωπαϊκής Ένωσης. </w:t>
      </w:r>
      <w:r w:rsidRPr="00FA7D62">
        <w:rPr>
          <w:rFonts w:ascii="Verdana" w:hAnsi="Verdana"/>
        </w:rPr>
        <w:t xml:space="preserve">Γενικά η ΕΕ των 28 Κ-Μ απορροφά σταθερά τα τελευταία χρόνια </w:t>
      </w:r>
      <w:r>
        <w:rPr>
          <w:rFonts w:ascii="Verdana" w:hAnsi="Verdana"/>
        </w:rPr>
        <w:t>50</w:t>
      </w:r>
      <w:r w:rsidRPr="00FA7D62">
        <w:rPr>
          <w:rFonts w:ascii="Verdana" w:hAnsi="Verdana"/>
        </w:rPr>
        <w:t xml:space="preserve"> - 60% του συνόλου των </w:t>
      </w:r>
      <w:proofErr w:type="spellStart"/>
      <w:r w:rsidRPr="00FA7D62">
        <w:rPr>
          <w:rFonts w:ascii="Verdana" w:hAnsi="Verdana"/>
        </w:rPr>
        <w:t>αζερικών</w:t>
      </w:r>
      <w:proofErr w:type="spellEnd"/>
      <w:r w:rsidRPr="00FA7D62">
        <w:rPr>
          <w:rFonts w:ascii="Verdana" w:hAnsi="Verdana"/>
        </w:rPr>
        <w:t xml:space="preserve"> εξαγωγών (</w:t>
      </w:r>
      <w:r w:rsidRPr="00FA7D62">
        <w:rPr>
          <w:rFonts w:ascii="Verdana" w:hAnsi="Verdana"/>
          <w:i/>
          <w:iCs/>
        </w:rPr>
        <w:t>ουσιαστικά του αργού</w:t>
      </w:r>
      <w:r>
        <w:rPr>
          <w:rFonts w:ascii="Verdana" w:hAnsi="Verdana"/>
          <w:i/>
          <w:iCs/>
        </w:rPr>
        <w:t xml:space="preserve"> πετρελαίου</w:t>
      </w:r>
      <w:r w:rsidRPr="00FA7D62">
        <w:rPr>
          <w:rFonts w:ascii="Verdana" w:hAnsi="Verdana"/>
        </w:rPr>
        <w:t xml:space="preserve">), με πρωταρχική αγορά εκείνη της Ιταλίας, </w:t>
      </w:r>
      <w:r w:rsidR="00EE2A97">
        <w:rPr>
          <w:rFonts w:ascii="Verdana" w:hAnsi="Verdana"/>
        </w:rPr>
        <w:t>η οποία</w:t>
      </w:r>
      <w:r w:rsidRPr="00FA7D62">
        <w:rPr>
          <w:rFonts w:ascii="Verdana" w:hAnsi="Verdana"/>
        </w:rPr>
        <w:t xml:space="preserve"> το 2</w:t>
      </w:r>
      <w:r>
        <w:rPr>
          <w:rFonts w:ascii="Verdana" w:hAnsi="Verdana"/>
        </w:rPr>
        <w:t>01</w:t>
      </w:r>
      <w:r w:rsidR="006658A2" w:rsidRPr="006658A2">
        <w:rPr>
          <w:rFonts w:ascii="Verdana" w:hAnsi="Verdana"/>
        </w:rPr>
        <w:t xml:space="preserve">9 </w:t>
      </w:r>
      <w:r w:rsidR="00EE2A97" w:rsidRPr="00EE2A97">
        <w:rPr>
          <w:rFonts w:ascii="Verdana" w:hAnsi="Verdana"/>
        </w:rPr>
        <w:t>αγόρασε αργό αξίας 5,5</w:t>
      </w:r>
      <w:r w:rsidRPr="00EE2A97">
        <w:rPr>
          <w:rFonts w:ascii="Verdana" w:hAnsi="Verdana"/>
        </w:rPr>
        <w:t xml:space="preserve"> δις $.</w:t>
      </w:r>
      <w:r>
        <w:rPr>
          <w:rFonts w:ascii="Verdana" w:hAnsi="Verdana"/>
        </w:rPr>
        <w:t xml:space="preserve"> Η Ελλάδα κατατάσσεται στην </w:t>
      </w:r>
      <w:r w:rsidR="006658A2" w:rsidRPr="006658A2">
        <w:rPr>
          <w:rFonts w:ascii="Verdana" w:hAnsi="Verdana"/>
        </w:rPr>
        <w:t>18</w:t>
      </w:r>
      <w:r w:rsidRPr="003C465F">
        <w:rPr>
          <w:rFonts w:ascii="Verdana" w:hAnsi="Verdana"/>
          <w:vertAlign w:val="superscript"/>
        </w:rPr>
        <w:t>η</w:t>
      </w:r>
      <w:r>
        <w:rPr>
          <w:rFonts w:ascii="Verdana" w:hAnsi="Verdana"/>
        </w:rPr>
        <w:t xml:space="preserve"> θέση μεταξύ των αγοραστών </w:t>
      </w:r>
      <w:proofErr w:type="spellStart"/>
      <w:r>
        <w:rPr>
          <w:rFonts w:ascii="Verdana" w:hAnsi="Verdana"/>
        </w:rPr>
        <w:t>αζερικών</w:t>
      </w:r>
      <w:proofErr w:type="spellEnd"/>
      <w:r>
        <w:rPr>
          <w:rFonts w:ascii="Verdana" w:hAnsi="Verdana"/>
        </w:rPr>
        <w:t xml:space="preserve"> προϊόντων με συμμετοχή </w:t>
      </w:r>
      <w:r w:rsidR="006658A2" w:rsidRPr="006658A2">
        <w:rPr>
          <w:rFonts w:ascii="Verdana" w:hAnsi="Verdana"/>
        </w:rPr>
        <w:t>1,2</w:t>
      </w:r>
      <w:r>
        <w:rPr>
          <w:rFonts w:ascii="Verdana" w:hAnsi="Verdana"/>
        </w:rPr>
        <w:t>% επί του συνόλου</w:t>
      </w:r>
      <w:r w:rsidRPr="003C465F">
        <w:rPr>
          <w:rFonts w:ascii="Verdana" w:hAnsi="Verdana"/>
        </w:rPr>
        <w:t xml:space="preserve"> </w:t>
      </w:r>
      <w:r>
        <w:rPr>
          <w:rFonts w:ascii="Verdana" w:hAnsi="Verdana"/>
        </w:rPr>
        <w:t xml:space="preserve">των </w:t>
      </w:r>
      <w:proofErr w:type="spellStart"/>
      <w:r>
        <w:rPr>
          <w:rFonts w:ascii="Verdana" w:hAnsi="Verdana"/>
        </w:rPr>
        <w:t>αζερικών</w:t>
      </w:r>
      <w:proofErr w:type="spellEnd"/>
      <w:r>
        <w:rPr>
          <w:rFonts w:ascii="Verdana" w:hAnsi="Verdana"/>
        </w:rPr>
        <w:t xml:space="preserve"> εξαγωγών.</w:t>
      </w:r>
    </w:p>
    <w:tbl>
      <w:tblPr>
        <w:tblStyle w:val="a9"/>
        <w:tblW w:w="0" w:type="auto"/>
        <w:tblInd w:w="198" w:type="dxa"/>
        <w:shd w:val="clear" w:color="auto" w:fill="DDD9C3" w:themeFill="background2" w:themeFillShade="E6"/>
        <w:tblLook w:val="04A0" w:firstRow="1" w:lastRow="0" w:firstColumn="1" w:lastColumn="0" w:noHBand="0" w:noVBand="1"/>
      </w:tblPr>
      <w:tblGrid>
        <w:gridCol w:w="8818"/>
      </w:tblGrid>
      <w:tr w:rsidR="006457C2" w:rsidTr="004E49F6">
        <w:tc>
          <w:tcPr>
            <w:tcW w:w="8820" w:type="dxa"/>
            <w:shd w:val="clear" w:color="auto" w:fill="DDD9C3" w:themeFill="background2" w:themeFillShade="E6"/>
          </w:tcPr>
          <w:p w:rsidR="006457C2" w:rsidRDefault="00E708DF" w:rsidP="004E49F6">
            <w:pPr>
              <w:pStyle w:val="aa"/>
              <w:ind w:left="1080"/>
              <w:rPr>
                <w:rFonts w:ascii="Verdana" w:hAnsi="Verdana"/>
              </w:rPr>
            </w:pPr>
            <w:r>
              <w:rPr>
                <w:rFonts w:ascii="Verdana" w:hAnsi="Verdana"/>
                <w:b/>
                <w:bCs/>
                <w:sz w:val="22"/>
                <w:szCs w:val="22"/>
              </w:rPr>
              <w:t xml:space="preserve">ΚΥΡΙΟΙ ΑΓΟΡΑΣΤΕΣ </w:t>
            </w:r>
            <w:r w:rsidR="006457C2" w:rsidRPr="003D538F">
              <w:rPr>
                <w:rFonts w:ascii="Verdana" w:hAnsi="Verdana"/>
                <w:b/>
                <w:bCs/>
                <w:sz w:val="22"/>
                <w:szCs w:val="22"/>
              </w:rPr>
              <w:t xml:space="preserve"> ΑΖΕΡΙΚΩΝ ΠΡΟΪΟΝΤΩΝ </w:t>
            </w:r>
            <w:r w:rsidR="006457C2">
              <w:rPr>
                <w:rFonts w:ascii="Verdana" w:hAnsi="Verdana"/>
                <w:b/>
                <w:bCs/>
                <w:sz w:val="22"/>
                <w:szCs w:val="22"/>
              </w:rPr>
              <w:t xml:space="preserve">ΤΟ </w:t>
            </w:r>
            <w:r w:rsidR="006457C2" w:rsidRPr="003D538F">
              <w:rPr>
                <w:rFonts w:ascii="Verdana" w:hAnsi="Verdana"/>
                <w:b/>
                <w:bCs/>
                <w:sz w:val="22"/>
                <w:szCs w:val="22"/>
              </w:rPr>
              <w:t>201</w:t>
            </w:r>
            <w:r w:rsidR="005E44D9">
              <w:rPr>
                <w:rFonts w:ascii="Verdana" w:hAnsi="Verdana"/>
                <w:b/>
                <w:bCs/>
                <w:sz w:val="22"/>
                <w:szCs w:val="22"/>
              </w:rPr>
              <w:t>9</w:t>
            </w:r>
            <w:r w:rsidR="006457C2">
              <w:rPr>
                <w:rFonts w:ascii="Verdana" w:hAnsi="Verdana"/>
                <w:b/>
                <w:bCs/>
                <w:sz w:val="22"/>
                <w:szCs w:val="22"/>
              </w:rPr>
              <w:t xml:space="preserve"> </w:t>
            </w:r>
          </w:p>
        </w:tc>
      </w:tr>
    </w:tbl>
    <w:p w:rsidR="00967EF1" w:rsidRPr="00FA7D62" w:rsidRDefault="00967EF1" w:rsidP="00FA7D62">
      <w:pPr>
        <w:jc w:val="both"/>
        <w:rPr>
          <w:rFonts w:ascii="Verdana" w:hAnsi="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0A0" w:firstRow="1" w:lastRow="0" w:firstColumn="1" w:lastColumn="0" w:noHBand="0" w:noVBand="0"/>
      </w:tblPr>
      <w:tblGrid>
        <w:gridCol w:w="2575"/>
        <w:gridCol w:w="3353"/>
        <w:gridCol w:w="3194"/>
      </w:tblGrid>
      <w:tr w:rsidR="003D538F" w:rsidRPr="00FA7D62" w:rsidTr="00967EF1">
        <w:tc>
          <w:tcPr>
            <w:tcW w:w="2623" w:type="dxa"/>
            <w:shd w:val="clear" w:color="auto" w:fill="DDD9C3" w:themeFill="background2" w:themeFillShade="E6"/>
          </w:tcPr>
          <w:p w:rsidR="003D538F" w:rsidRPr="003D538F" w:rsidRDefault="003D538F" w:rsidP="003558CC">
            <w:pPr>
              <w:jc w:val="center"/>
              <w:rPr>
                <w:rFonts w:ascii="Verdana" w:hAnsi="Verdana"/>
                <w:b/>
              </w:rPr>
            </w:pPr>
            <w:r w:rsidRPr="003D538F">
              <w:rPr>
                <w:rFonts w:ascii="Verdana" w:hAnsi="Verdana"/>
                <w:b/>
              </w:rPr>
              <w:t>Εξαγωγική αγορά</w:t>
            </w:r>
          </w:p>
        </w:tc>
        <w:tc>
          <w:tcPr>
            <w:tcW w:w="3444" w:type="dxa"/>
            <w:shd w:val="clear" w:color="auto" w:fill="DDD9C3" w:themeFill="background2" w:themeFillShade="E6"/>
          </w:tcPr>
          <w:p w:rsidR="003D538F" w:rsidRPr="003D538F" w:rsidRDefault="00A8337F" w:rsidP="003558CC">
            <w:pPr>
              <w:jc w:val="center"/>
              <w:rPr>
                <w:rFonts w:ascii="Verdana" w:hAnsi="Verdana"/>
                <w:b/>
              </w:rPr>
            </w:pPr>
            <w:r>
              <w:rPr>
                <w:rFonts w:ascii="Verdana" w:hAnsi="Verdana"/>
                <w:b/>
              </w:rPr>
              <w:t>000</w:t>
            </w:r>
            <w:r w:rsidR="003D538F" w:rsidRPr="003D538F">
              <w:rPr>
                <w:rFonts w:ascii="Verdana" w:hAnsi="Verdana"/>
                <w:b/>
              </w:rPr>
              <w:t xml:space="preserve"> $</w:t>
            </w:r>
          </w:p>
        </w:tc>
        <w:tc>
          <w:tcPr>
            <w:tcW w:w="3281" w:type="dxa"/>
            <w:shd w:val="clear" w:color="auto" w:fill="DDD9C3" w:themeFill="background2" w:themeFillShade="E6"/>
          </w:tcPr>
          <w:p w:rsidR="003D538F" w:rsidRPr="003D538F" w:rsidRDefault="005E0C08" w:rsidP="003558CC">
            <w:pPr>
              <w:jc w:val="center"/>
              <w:rPr>
                <w:rFonts w:ascii="Verdana" w:hAnsi="Verdana"/>
                <w:b/>
              </w:rPr>
            </w:pPr>
            <w:r>
              <w:rPr>
                <w:rFonts w:ascii="Verdana" w:hAnsi="Verdana"/>
                <w:b/>
              </w:rPr>
              <w:t>%</w:t>
            </w:r>
            <w:r w:rsidR="003D538F" w:rsidRPr="003D538F">
              <w:rPr>
                <w:rFonts w:ascii="Verdana" w:hAnsi="Verdana"/>
                <w:b/>
              </w:rPr>
              <w:t xml:space="preserve"> επί του συνόλου</w:t>
            </w:r>
          </w:p>
        </w:tc>
      </w:tr>
      <w:tr w:rsidR="003D538F" w:rsidRPr="00FA7D62" w:rsidTr="00967EF1">
        <w:tc>
          <w:tcPr>
            <w:tcW w:w="2623" w:type="dxa"/>
            <w:shd w:val="clear" w:color="auto" w:fill="DDD9C3" w:themeFill="background2" w:themeFillShade="E6"/>
          </w:tcPr>
          <w:p w:rsidR="003D538F" w:rsidRPr="00FA7D62" w:rsidRDefault="003D538F" w:rsidP="003558CC">
            <w:pPr>
              <w:jc w:val="center"/>
              <w:rPr>
                <w:rFonts w:ascii="Verdana" w:hAnsi="Verdana"/>
              </w:rPr>
            </w:pPr>
            <w:r w:rsidRPr="00FA7D62">
              <w:rPr>
                <w:rFonts w:ascii="Verdana" w:hAnsi="Verdana"/>
              </w:rPr>
              <w:t>Ιταλία</w:t>
            </w:r>
          </w:p>
        </w:tc>
        <w:tc>
          <w:tcPr>
            <w:tcW w:w="3444" w:type="dxa"/>
            <w:shd w:val="clear" w:color="auto" w:fill="DDD9C3" w:themeFill="background2" w:themeFillShade="E6"/>
          </w:tcPr>
          <w:p w:rsidR="003D538F" w:rsidRPr="006658A2" w:rsidRDefault="006658A2" w:rsidP="003558CC">
            <w:pPr>
              <w:jc w:val="center"/>
              <w:rPr>
                <w:rFonts w:ascii="Verdana" w:hAnsi="Verdana"/>
                <w:lang w:val="en-US"/>
              </w:rPr>
            </w:pPr>
            <w:r>
              <w:rPr>
                <w:rFonts w:ascii="Verdana" w:hAnsi="Verdana"/>
                <w:lang w:val="en-US"/>
              </w:rPr>
              <w:t>5.638.641</w:t>
            </w:r>
          </w:p>
        </w:tc>
        <w:tc>
          <w:tcPr>
            <w:tcW w:w="3281" w:type="dxa"/>
            <w:shd w:val="clear" w:color="auto" w:fill="DDD9C3" w:themeFill="background2" w:themeFillShade="E6"/>
          </w:tcPr>
          <w:p w:rsidR="003D538F" w:rsidRPr="003D538F" w:rsidRDefault="001A4DFF" w:rsidP="003558CC">
            <w:pPr>
              <w:jc w:val="center"/>
              <w:rPr>
                <w:rFonts w:ascii="Verdana" w:hAnsi="Verdana"/>
              </w:rPr>
            </w:pPr>
            <w:r>
              <w:rPr>
                <w:rFonts w:ascii="Verdana" w:hAnsi="Verdana"/>
              </w:rPr>
              <w:t>28,6</w:t>
            </w:r>
            <w:r w:rsidR="003D538F">
              <w:rPr>
                <w:rFonts w:ascii="Verdana" w:hAnsi="Verdana"/>
              </w:rPr>
              <w:t>%</w:t>
            </w:r>
          </w:p>
        </w:tc>
      </w:tr>
      <w:tr w:rsidR="003D538F" w:rsidRPr="00FA7D62" w:rsidTr="00967EF1">
        <w:tc>
          <w:tcPr>
            <w:tcW w:w="2623" w:type="dxa"/>
            <w:shd w:val="clear" w:color="auto" w:fill="DDD9C3" w:themeFill="background2" w:themeFillShade="E6"/>
          </w:tcPr>
          <w:p w:rsidR="003D538F" w:rsidRPr="00FA7D62" w:rsidRDefault="003D538F" w:rsidP="003558CC">
            <w:pPr>
              <w:jc w:val="center"/>
              <w:rPr>
                <w:rFonts w:ascii="Verdana" w:hAnsi="Verdana"/>
              </w:rPr>
            </w:pPr>
            <w:r w:rsidRPr="00FA7D62">
              <w:rPr>
                <w:rFonts w:ascii="Verdana" w:hAnsi="Verdana"/>
              </w:rPr>
              <w:t>Τουρκία</w:t>
            </w:r>
          </w:p>
        </w:tc>
        <w:tc>
          <w:tcPr>
            <w:tcW w:w="3444" w:type="dxa"/>
            <w:shd w:val="clear" w:color="auto" w:fill="DDD9C3" w:themeFill="background2" w:themeFillShade="E6"/>
          </w:tcPr>
          <w:p w:rsidR="003D538F" w:rsidRPr="00A96053" w:rsidRDefault="006658A2" w:rsidP="00A96053">
            <w:pPr>
              <w:jc w:val="center"/>
              <w:rPr>
                <w:rFonts w:ascii="Verdana" w:hAnsi="Verdana"/>
              </w:rPr>
            </w:pPr>
            <w:r>
              <w:rPr>
                <w:rFonts w:ascii="Verdana" w:hAnsi="Verdana"/>
                <w:lang w:val="en-US"/>
              </w:rPr>
              <w:t>2.862.197</w:t>
            </w:r>
          </w:p>
        </w:tc>
        <w:tc>
          <w:tcPr>
            <w:tcW w:w="3281" w:type="dxa"/>
            <w:shd w:val="clear" w:color="auto" w:fill="DDD9C3" w:themeFill="background2" w:themeFillShade="E6"/>
          </w:tcPr>
          <w:p w:rsidR="003D538F" w:rsidRPr="003D538F" w:rsidRDefault="001A4DFF" w:rsidP="003558CC">
            <w:pPr>
              <w:jc w:val="center"/>
              <w:rPr>
                <w:rFonts w:ascii="Verdana" w:hAnsi="Verdana"/>
              </w:rPr>
            </w:pPr>
            <w:r>
              <w:rPr>
                <w:rFonts w:ascii="Verdana" w:hAnsi="Verdana"/>
              </w:rPr>
              <w:t>14,8</w:t>
            </w:r>
            <w:r w:rsidR="003D538F">
              <w:rPr>
                <w:rFonts w:ascii="Verdana" w:hAnsi="Verdana"/>
              </w:rPr>
              <w:t>%</w:t>
            </w:r>
          </w:p>
        </w:tc>
      </w:tr>
      <w:tr w:rsidR="003D538F" w:rsidRPr="00FA7D62" w:rsidTr="00967EF1">
        <w:tc>
          <w:tcPr>
            <w:tcW w:w="2623" w:type="dxa"/>
            <w:shd w:val="clear" w:color="auto" w:fill="DDD9C3" w:themeFill="background2" w:themeFillShade="E6"/>
          </w:tcPr>
          <w:p w:rsidR="003D538F" w:rsidRPr="00FA7D62" w:rsidRDefault="003D538F" w:rsidP="003558CC">
            <w:pPr>
              <w:jc w:val="center"/>
              <w:rPr>
                <w:rFonts w:ascii="Verdana" w:hAnsi="Verdana"/>
                <w:lang w:val="en-US"/>
              </w:rPr>
            </w:pPr>
            <w:r w:rsidRPr="00FA7D62">
              <w:rPr>
                <w:rFonts w:ascii="Verdana" w:hAnsi="Verdana"/>
              </w:rPr>
              <w:t>Ισραήλ</w:t>
            </w:r>
          </w:p>
        </w:tc>
        <w:tc>
          <w:tcPr>
            <w:tcW w:w="3444" w:type="dxa"/>
            <w:shd w:val="clear" w:color="auto" w:fill="DDD9C3" w:themeFill="background2" w:themeFillShade="E6"/>
          </w:tcPr>
          <w:p w:rsidR="003D538F" w:rsidRPr="006658A2" w:rsidRDefault="006658A2" w:rsidP="003558CC">
            <w:pPr>
              <w:jc w:val="center"/>
              <w:rPr>
                <w:rFonts w:ascii="Verdana" w:hAnsi="Verdana"/>
                <w:lang w:val="en-US"/>
              </w:rPr>
            </w:pPr>
            <w:r>
              <w:rPr>
                <w:rFonts w:ascii="Verdana" w:hAnsi="Verdana"/>
                <w:lang w:val="en-US"/>
              </w:rPr>
              <w:t>1.331.616</w:t>
            </w:r>
          </w:p>
        </w:tc>
        <w:tc>
          <w:tcPr>
            <w:tcW w:w="3281" w:type="dxa"/>
            <w:shd w:val="clear" w:color="auto" w:fill="DDD9C3" w:themeFill="background2" w:themeFillShade="E6"/>
          </w:tcPr>
          <w:p w:rsidR="003D538F" w:rsidRPr="003D538F" w:rsidRDefault="001A4DFF" w:rsidP="003558CC">
            <w:pPr>
              <w:jc w:val="center"/>
              <w:rPr>
                <w:rFonts w:ascii="Verdana" w:hAnsi="Verdana"/>
              </w:rPr>
            </w:pPr>
            <w:r>
              <w:rPr>
                <w:rFonts w:ascii="Verdana" w:hAnsi="Verdana"/>
              </w:rPr>
              <w:t>6,6</w:t>
            </w:r>
            <w:r w:rsidR="003D538F">
              <w:rPr>
                <w:rFonts w:ascii="Verdana" w:hAnsi="Verdana"/>
              </w:rPr>
              <w:t>%</w:t>
            </w:r>
          </w:p>
        </w:tc>
      </w:tr>
      <w:tr w:rsidR="001A4DFF" w:rsidRPr="00FA7D62" w:rsidTr="00967EF1">
        <w:tc>
          <w:tcPr>
            <w:tcW w:w="2623" w:type="dxa"/>
            <w:shd w:val="clear" w:color="auto" w:fill="DDD9C3" w:themeFill="background2" w:themeFillShade="E6"/>
          </w:tcPr>
          <w:p w:rsidR="001A4DFF" w:rsidRPr="00FA7D62" w:rsidRDefault="001A4DFF" w:rsidP="003558CC">
            <w:pPr>
              <w:jc w:val="center"/>
              <w:rPr>
                <w:rFonts w:ascii="Verdana" w:hAnsi="Verdana"/>
              </w:rPr>
            </w:pPr>
            <w:r>
              <w:rPr>
                <w:rFonts w:ascii="Verdana" w:hAnsi="Verdana"/>
              </w:rPr>
              <w:t>Ινδία</w:t>
            </w:r>
          </w:p>
        </w:tc>
        <w:tc>
          <w:tcPr>
            <w:tcW w:w="3444" w:type="dxa"/>
            <w:shd w:val="clear" w:color="auto" w:fill="DDD9C3" w:themeFill="background2" w:themeFillShade="E6"/>
          </w:tcPr>
          <w:p w:rsidR="001A4DFF" w:rsidRPr="001A4DFF" w:rsidRDefault="001A4DFF" w:rsidP="003558CC">
            <w:pPr>
              <w:jc w:val="center"/>
              <w:rPr>
                <w:rFonts w:ascii="Verdana" w:hAnsi="Verdana"/>
              </w:rPr>
            </w:pPr>
            <w:r>
              <w:rPr>
                <w:rFonts w:ascii="Verdana" w:hAnsi="Verdana"/>
              </w:rPr>
              <w:t>955.865</w:t>
            </w:r>
          </w:p>
        </w:tc>
        <w:tc>
          <w:tcPr>
            <w:tcW w:w="3281" w:type="dxa"/>
            <w:shd w:val="clear" w:color="auto" w:fill="DDD9C3" w:themeFill="background2" w:themeFillShade="E6"/>
          </w:tcPr>
          <w:p w:rsidR="001A4DFF" w:rsidRDefault="001A4DFF" w:rsidP="003558CC">
            <w:pPr>
              <w:jc w:val="center"/>
              <w:rPr>
                <w:rFonts w:ascii="Verdana" w:hAnsi="Verdana"/>
              </w:rPr>
            </w:pPr>
            <w:r>
              <w:rPr>
                <w:rFonts w:ascii="Verdana" w:hAnsi="Verdana"/>
              </w:rPr>
              <w:t>4,9%</w:t>
            </w:r>
          </w:p>
        </w:tc>
      </w:tr>
      <w:tr w:rsidR="003D538F" w:rsidRPr="00FA7D62" w:rsidTr="00967EF1">
        <w:trPr>
          <w:trHeight w:val="296"/>
        </w:trPr>
        <w:tc>
          <w:tcPr>
            <w:tcW w:w="2623" w:type="dxa"/>
            <w:shd w:val="clear" w:color="auto" w:fill="DDD9C3" w:themeFill="background2" w:themeFillShade="E6"/>
          </w:tcPr>
          <w:p w:rsidR="003D538F" w:rsidRPr="00FA7D62" w:rsidRDefault="006658A2" w:rsidP="003558CC">
            <w:pPr>
              <w:jc w:val="center"/>
              <w:rPr>
                <w:rFonts w:ascii="Verdana" w:hAnsi="Verdana"/>
              </w:rPr>
            </w:pPr>
            <w:r w:rsidRPr="00FA7D62">
              <w:rPr>
                <w:rFonts w:ascii="Verdana" w:hAnsi="Verdana"/>
              </w:rPr>
              <w:t>Γερμανία</w:t>
            </w:r>
          </w:p>
        </w:tc>
        <w:tc>
          <w:tcPr>
            <w:tcW w:w="3444" w:type="dxa"/>
            <w:shd w:val="clear" w:color="auto" w:fill="DDD9C3" w:themeFill="background2" w:themeFillShade="E6"/>
          </w:tcPr>
          <w:p w:rsidR="003D538F" w:rsidRPr="006658A2" w:rsidRDefault="006658A2" w:rsidP="003558CC">
            <w:pPr>
              <w:jc w:val="center"/>
              <w:rPr>
                <w:rFonts w:ascii="Verdana" w:hAnsi="Verdana"/>
                <w:lang w:val="en-US"/>
              </w:rPr>
            </w:pPr>
            <w:r>
              <w:rPr>
                <w:rFonts w:ascii="Verdana" w:hAnsi="Verdana"/>
                <w:lang w:val="en-US"/>
              </w:rPr>
              <w:t>931.783</w:t>
            </w:r>
          </w:p>
        </w:tc>
        <w:tc>
          <w:tcPr>
            <w:tcW w:w="3281" w:type="dxa"/>
            <w:shd w:val="clear" w:color="auto" w:fill="DDD9C3" w:themeFill="background2" w:themeFillShade="E6"/>
          </w:tcPr>
          <w:p w:rsidR="003D538F" w:rsidRPr="00FA7D62" w:rsidRDefault="001A4DFF" w:rsidP="003558CC">
            <w:pPr>
              <w:jc w:val="center"/>
              <w:rPr>
                <w:rFonts w:ascii="Verdana" w:hAnsi="Verdana"/>
              </w:rPr>
            </w:pPr>
            <w:r>
              <w:rPr>
                <w:rFonts w:ascii="Verdana" w:hAnsi="Verdana"/>
              </w:rPr>
              <w:t>4,6</w:t>
            </w:r>
            <w:r w:rsidR="003D538F">
              <w:rPr>
                <w:rFonts w:ascii="Verdana" w:hAnsi="Verdana"/>
              </w:rPr>
              <w:t>%</w:t>
            </w:r>
          </w:p>
        </w:tc>
      </w:tr>
      <w:tr w:rsidR="003D538F" w:rsidRPr="00FA7D62" w:rsidTr="00967EF1">
        <w:tc>
          <w:tcPr>
            <w:tcW w:w="2623" w:type="dxa"/>
            <w:shd w:val="clear" w:color="auto" w:fill="DDD9C3" w:themeFill="background2" w:themeFillShade="E6"/>
          </w:tcPr>
          <w:p w:rsidR="003D538F" w:rsidRPr="006658A2" w:rsidRDefault="006658A2" w:rsidP="003558CC">
            <w:pPr>
              <w:jc w:val="center"/>
              <w:rPr>
                <w:rFonts w:ascii="Verdana" w:hAnsi="Verdana"/>
              </w:rPr>
            </w:pPr>
            <w:r>
              <w:rPr>
                <w:rFonts w:ascii="Verdana" w:hAnsi="Verdana"/>
                <w:lang w:val="en-US"/>
              </w:rPr>
              <w:t>Κ</w:t>
            </w:r>
            <w:r>
              <w:rPr>
                <w:rFonts w:ascii="Verdana" w:hAnsi="Verdana"/>
              </w:rPr>
              <w:t>ίνα</w:t>
            </w:r>
          </w:p>
        </w:tc>
        <w:tc>
          <w:tcPr>
            <w:tcW w:w="3444" w:type="dxa"/>
            <w:shd w:val="clear" w:color="auto" w:fill="DDD9C3" w:themeFill="background2" w:themeFillShade="E6"/>
          </w:tcPr>
          <w:p w:rsidR="003D538F" w:rsidRPr="00FA7D62" w:rsidRDefault="006658A2" w:rsidP="003558CC">
            <w:pPr>
              <w:jc w:val="center"/>
              <w:rPr>
                <w:rFonts w:ascii="Verdana" w:hAnsi="Verdana"/>
              </w:rPr>
            </w:pPr>
            <w:r>
              <w:rPr>
                <w:rFonts w:ascii="Verdana" w:hAnsi="Verdana"/>
              </w:rPr>
              <w:t>752.162</w:t>
            </w:r>
          </w:p>
        </w:tc>
        <w:tc>
          <w:tcPr>
            <w:tcW w:w="3281" w:type="dxa"/>
            <w:shd w:val="clear" w:color="auto" w:fill="DDD9C3" w:themeFill="background2" w:themeFillShade="E6"/>
          </w:tcPr>
          <w:p w:rsidR="003D538F" w:rsidRPr="00FA7D62" w:rsidRDefault="001A4DFF" w:rsidP="003558CC">
            <w:pPr>
              <w:jc w:val="center"/>
              <w:rPr>
                <w:rFonts w:ascii="Verdana" w:hAnsi="Verdana"/>
              </w:rPr>
            </w:pPr>
            <w:r>
              <w:rPr>
                <w:rFonts w:ascii="Verdana" w:hAnsi="Verdana"/>
              </w:rPr>
              <w:t>3,8</w:t>
            </w:r>
            <w:r w:rsidR="003D538F">
              <w:rPr>
                <w:rFonts w:ascii="Verdana" w:hAnsi="Verdana"/>
              </w:rPr>
              <w:t>%</w:t>
            </w:r>
          </w:p>
        </w:tc>
      </w:tr>
      <w:tr w:rsidR="003D538F" w:rsidRPr="00FA7D62" w:rsidTr="00967EF1">
        <w:tc>
          <w:tcPr>
            <w:tcW w:w="2623" w:type="dxa"/>
            <w:shd w:val="clear" w:color="auto" w:fill="DDD9C3" w:themeFill="background2" w:themeFillShade="E6"/>
          </w:tcPr>
          <w:p w:rsidR="003D538F" w:rsidRPr="00FA7D62" w:rsidRDefault="006658A2" w:rsidP="003558CC">
            <w:pPr>
              <w:jc w:val="center"/>
              <w:rPr>
                <w:rFonts w:ascii="Verdana" w:hAnsi="Verdana"/>
              </w:rPr>
            </w:pPr>
            <w:r w:rsidRPr="00FA7D62">
              <w:rPr>
                <w:rFonts w:ascii="Verdana" w:hAnsi="Verdana"/>
              </w:rPr>
              <w:t>Ρωσία</w:t>
            </w:r>
          </w:p>
        </w:tc>
        <w:tc>
          <w:tcPr>
            <w:tcW w:w="3444" w:type="dxa"/>
            <w:shd w:val="clear" w:color="auto" w:fill="DDD9C3" w:themeFill="background2" w:themeFillShade="E6"/>
          </w:tcPr>
          <w:p w:rsidR="003D538F" w:rsidRPr="00FA7D62" w:rsidRDefault="006658A2" w:rsidP="003558CC">
            <w:pPr>
              <w:jc w:val="center"/>
              <w:rPr>
                <w:rFonts w:ascii="Verdana" w:hAnsi="Verdana"/>
              </w:rPr>
            </w:pPr>
            <w:r>
              <w:rPr>
                <w:rFonts w:ascii="Verdana" w:hAnsi="Verdana"/>
              </w:rPr>
              <w:t>731.826</w:t>
            </w:r>
          </w:p>
        </w:tc>
        <w:tc>
          <w:tcPr>
            <w:tcW w:w="3281" w:type="dxa"/>
            <w:shd w:val="clear" w:color="auto" w:fill="DDD9C3" w:themeFill="background2" w:themeFillShade="E6"/>
          </w:tcPr>
          <w:p w:rsidR="003D538F" w:rsidRPr="00FA7D62" w:rsidRDefault="001A4DFF" w:rsidP="003558CC">
            <w:pPr>
              <w:jc w:val="center"/>
              <w:rPr>
                <w:rFonts w:ascii="Verdana" w:hAnsi="Verdana"/>
              </w:rPr>
            </w:pPr>
            <w:r>
              <w:rPr>
                <w:rFonts w:ascii="Verdana" w:hAnsi="Verdana"/>
              </w:rPr>
              <w:t>3,7</w:t>
            </w:r>
            <w:r w:rsidR="003D538F">
              <w:rPr>
                <w:rFonts w:ascii="Verdana" w:hAnsi="Verdana"/>
              </w:rPr>
              <w:t>%</w:t>
            </w:r>
          </w:p>
        </w:tc>
      </w:tr>
      <w:tr w:rsidR="003D538F" w:rsidRPr="00FA7D62" w:rsidTr="00967EF1">
        <w:tc>
          <w:tcPr>
            <w:tcW w:w="2623" w:type="dxa"/>
            <w:shd w:val="clear" w:color="auto" w:fill="DDD9C3" w:themeFill="background2" w:themeFillShade="E6"/>
          </w:tcPr>
          <w:p w:rsidR="003D538F" w:rsidRPr="00FA7D62" w:rsidRDefault="006658A2" w:rsidP="003558CC">
            <w:pPr>
              <w:jc w:val="center"/>
              <w:rPr>
                <w:rFonts w:ascii="Verdana" w:hAnsi="Verdana"/>
              </w:rPr>
            </w:pPr>
            <w:r w:rsidRPr="00FA7D62">
              <w:rPr>
                <w:rFonts w:ascii="Verdana" w:hAnsi="Verdana"/>
              </w:rPr>
              <w:t>Τσεχία</w:t>
            </w:r>
          </w:p>
        </w:tc>
        <w:tc>
          <w:tcPr>
            <w:tcW w:w="3444" w:type="dxa"/>
            <w:shd w:val="clear" w:color="auto" w:fill="DDD9C3" w:themeFill="background2" w:themeFillShade="E6"/>
          </w:tcPr>
          <w:p w:rsidR="003D538F" w:rsidRPr="00FA7D62" w:rsidRDefault="006658A2" w:rsidP="003558CC">
            <w:pPr>
              <w:jc w:val="center"/>
              <w:rPr>
                <w:rFonts w:ascii="Verdana" w:hAnsi="Verdana"/>
              </w:rPr>
            </w:pPr>
            <w:r>
              <w:rPr>
                <w:rFonts w:ascii="Verdana" w:hAnsi="Verdana"/>
              </w:rPr>
              <w:t>647.451</w:t>
            </w:r>
          </w:p>
        </w:tc>
        <w:tc>
          <w:tcPr>
            <w:tcW w:w="3281" w:type="dxa"/>
            <w:shd w:val="clear" w:color="auto" w:fill="DDD9C3" w:themeFill="background2" w:themeFillShade="E6"/>
          </w:tcPr>
          <w:p w:rsidR="003D538F" w:rsidRPr="00FA7D62" w:rsidRDefault="001A4DFF" w:rsidP="003558CC">
            <w:pPr>
              <w:jc w:val="center"/>
              <w:rPr>
                <w:rFonts w:ascii="Verdana" w:hAnsi="Verdana"/>
              </w:rPr>
            </w:pPr>
            <w:r>
              <w:rPr>
                <w:rFonts w:ascii="Verdana" w:hAnsi="Verdana"/>
              </w:rPr>
              <w:t>3,3</w:t>
            </w:r>
            <w:r w:rsidR="003D538F">
              <w:rPr>
                <w:rFonts w:ascii="Verdana" w:hAnsi="Verdana"/>
              </w:rPr>
              <w:t>%</w:t>
            </w:r>
          </w:p>
        </w:tc>
      </w:tr>
      <w:tr w:rsidR="003D538F" w:rsidRPr="00FA7D62" w:rsidTr="00967EF1">
        <w:tc>
          <w:tcPr>
            <w:tcW w:w="2623" w:type="dxa"/>
            <w:shd w:val="clear" w:color="auto" w:fill="DDD9C3" w:themeFill="background2" w:themeFillShade="E6"/>
          </w:tcPr>
          <w:p w:rsidR="003D538F" w:rsidRPr="00FA7D62" w:rsidRDefault="007471B8" w:rsidP="003558CC">
            <w:pPr>
              <w:jc w:val="center"/>
              <w:rPr>
                <w:rFonts w:ascii="Verdana" w:hAnsi="Verdana"/>
              </w:rPr>
            </w:pPr>
            <w:r>
              <w:rPr>
                <w:rFonts w:ascii="Verdana" w:hAnsi="Verdana"/>
              </w:rPr>
              <w:t xml:space="preserve">Γεωργία </w:t>
            </w:r>
          </w:p>
        </w:tc>
        <w:tc>
          <w:tcPr>
            <w:tcW w:w="3444" w:type="dxa"/>
            <w:shd w:val="clear" w:color="auto" w:fill="DDD9C3" w:themeFill="background2" w:themeFillShade="E6"/>
          </w:tcPr>
          <w:p w:rsidR="003D538F" w:rsidRPr="00A96053" w:rsidRDefault="007471B8" w:rsidP="003558CC">
            <w:pPr>
              <w:jc w:val="center"/>
              <w:rPr>
                <w:rFonts w:ascii="Verdana" w:hAnsi="Verdana"/>
              </w:rPr>
            </w:pPr>
            <w:r>
              <w:rPr>
                <w:rFonts w:ascii="Verdana" w:hAnsi="Verdana"/>
              </w:rPr>
              <w:t>586.904</w:t>
            </w:r>
          </w:p>
        </w:tc>
        <w:tc>
          <w:tcPr>
            <w:tcW w:w="3281" w:type="dxa"/>
            <w:shd w:val="clear" w:color="auto" w:fill="DDD9C3" w:themeFill="background2" w:themeFillShade="E6"/>
          </w:tcPr>
          <w:p w:rsidR="003D538F" w:rsidRPr="003D538F" w:rsidRDefault="001A4DFF" w:rsidP="003558CC">
            <w:pPr>
              <w:jc w:val="center"/>
              <w:rPr>
                <w:rFonts w:ascii="Verdana" w:hAnsi="Verdana"/>
              </w:rPr>
            </w:pPr>
            <w:r>
              <w:rPr>
                <w:rFonts w:ascii="Verdana" w:hAnsi="Verdana"/>
              </w:rPr>
              <w:t>2,9%</w:t>
            </w:r>
          </w:p>
        </w:tc>
      </w:tr>
      <w:tr w:rsidR="003D538F" w:rsidRPr="00FA7D62" w:rsidTr="00967EF1">
        <w:tc>
          <w:tcPr>
            <w:tcW w:w="2623" w:type="dxa"/>
            <w:shd w:val="clear" w:color="auto" w:fill="DDD9C3" w:themeFill="background2" w:themeFillShade="E6"/>
          </w:tcPr>
          <w:p w:rsidR="003D538F" w:rsidRPr="00FA7D62" w:rsidRDefault="007471B8" w:rsidP="003558CC">
            <w:pPr>
              <w:jc w:val="center"/>
              <w:rPr>
                <w:rFonts w:ascii="Verdana" w:hAnsi="Verdana"/>
              </w:rPr>
            </w:pPr>
            <w:r>
              <w:rPr>
                <w:rFonts w:ascii="Verdana" w:hAnsi="Verdana"/>
              </w:rPr>
              <w:t xml:space="preserve">Γαλλία </w:t>
            </w:r>
          </w:p>
        </w:tc>
        <w:tc>
          <w:tcPr>
            <w:tcW w:w="3444" w:type="dxa"/>
            <w:shd w:val="clear" w:color="auto" w:fill="DDD9C3" w:themeFill="background2" w:themeFillShade="E6"/>
          </w:tcPr>
          <w:p w:rsidR="003D538F" w:rsidRPr="00FA7D62" w:rsidRDefault="007471B8" w:rsidP="003558CC">
            <w:pPr>
              <w:jc w:val="center"/>
              <w:rPr>
                <w:rFonts w:ascii="Verdana" w:hAnsi="Verdana"/>
              </w:rPr>
            </w:pPr>
            <w:r>
              <w:rPr>
                <w:rFonts w:ascii="Verdana" w:hAnsi="Verdana"/>
              </w:rPr>
              <w:t>536.639</w:t>
            </w:r>
          </w:p>
        </w:tc>
        <w:tc>
          <w:tcPr>
            <w:tcW w:w="3281" w:type="dxa"/>
            <w:shd w:val="clear" w:color="auto" w:fill="DDD9C3" w:themeFill="background2" w:themeFillShade="E6"/>
          </w:tcPr>
          <w:p w:rsidR="003D538F" w:rsidRPr="00FA7D62" w:rsidRDefault="001A4DFF" w:rsidP="003558CC">
            <w:pPr>
              <w:jc w:val="center"/>
              <w:rPr>
                <w:rFonts w:ascii="Verdana" w:hAnsi="Verdana"/>
              </w:rPr>
            </w:pPr>
            <w:r>
              <w:rPr>
                <w:rFonts w:ascii="Verdana" w:hAnsi="Verdana"/>
              </w:rPr>
              <w:t>2,7%</w:t>
            </w:r>
          </w:p>
        </w:tc>
      </w:tr>
    </w:tbl>
    <w:p w:rsidR="00FA7D62" w:rsidRDefault="00FA7D62" w:rsidP="00FA7D62">
      <w:pPr>
        <w:jc w:val="both"/>
        <w:rPr>
          <w:rFonts w:ascii="Verdana" w:hAnsi="Verdana"/>
        </w:rPr>
      </w:pPr>
      <w:r w:rsidRPr="00A96053">
        <w:rPr>
          <w:rFonts w:ascii="Verdana" w:hAnsi="Verdana"/>
          <w:b/>
        </w:rPr>
        <w:t>Πηγή:</w:t>
      </w:r>
      <w:r w:rsidRPr="00FA7D62">
        <w:rPr>
          <w:rFonts w:ascii="Verdana" w:hAnsi="Verdana"/>
        </w:rPr>
        <w:t xml:space="preserve"> Στατιστική Υπηρεσία Αζερμπαϊτζάν</w:t>
      </w:r>
    </w:p>
    <w:p w:rsidR="003C465F" w:rsidRPr="003C465F" w:rsidRDefault="006457C2" w:rsidP="003C465F">
      <w:pPr>
        <w:jc w:val="both"/>
        <w:rPr>
          <w:rFonts w:ascii="Verdana" w:hAnsi="Verdana"/>
          <w:b/>
          <w:bCs/>
          <w:color w:val="FF0000"/>
          <w:sz w:val="24"/>
          <w:szCs w:val="24"/>
        </w:rPr>
      </w:pPr>
      <w:r>
        <w:rPr>
          <w:rFonts w:ascii="Verdana" w:hAnsi="Verdana"/>
          <w:b/>
          <w:bCs/>
          <w:sz w:val="24"/>
          <w:szCs w:val="24"/>
        </w:rPr>
        <w:lastRenderedPageBreak/>
        <w:t xml:space="preserve">4.2 </w:t>
      </w:r>
      <w:r w:rsidR="003C465F" w:rsidRPr="003C465F">
        <w:rPr>
          <w:rFonts w:ascii="Verdana" w:hAnsi="Verdana"/>
          <w:b/>
          <w:bCs/>
          <w:sz w:val="24"/>
          <w:szCs w:val="24"/>
        </w:rPr>
        <w:t>ΑΖΕΡΙΚΕΣ ΕΙΣΑΓΩΓΕΣ</w:t>
      </w:r>
    </w:p>
    <w:p w:rsidR="003C465F" w:rsidRDefault="00B75902" w:rsidP="00FA7D62">
      <w:pPr>
        <w:jc w:val="both"/>
        <w:rPr>
          <w:rFonts w:ascii="Verdana" w:hAnsi="Verdana"/>
        </w:rPr>
      </w:pPr>
      <w:r w:rsidRPr="00A61430">
        <w:rPr>
          <w:rFonts w:ascii="Verdana" w:hAnsi="Verdana"/>
        </w:rPr>
        <w:t xml:space="preserve">Το Αζερμπαϊτζάν παραμένει, σε γενικές γραμμές και με λίγες μόνον εξαιρέσεις, </w:t>
      </w:r>
      <w:r w:rsidRPr="00A61430">
        <w:rPr>
          <w:rFonts w:ascii="Verdana" w:hAnsi="Verdana"/>
          <w:b/>
        </w:rPr>
        <w:t>μια «κλειστή» αγορά,</w:t>
      </w:r>
      <w:r w:rsidRPr="00A61430">
        <w:rPr>
          <w:rFonts w:ascii="Verdana" w:hAnsi="Verdana"/>
        </w:rPr>
        <w:t xml:space="preserve"> ιδίως για τα ευρωπαϊκής προέλευσης προϊόντα. Η </w:t>
      </w:r>
      <w:r w:rsidRPr="00A61430">
        <w:rPr>
          <w:rFonts w:ascii="Verdana" w:hAnsi="Verdana"/>
          <w:b/>
          <w:bCs/>
        </w:rPr>
        <w:t>συνειδητή πολιτική υποκατάστασης εισαγωγών</w:t>
      </w:r>
      <w:r w:rsidRPr="00A61430">
        <w:rPr>
          <w:rFonts w:ascii="Verdana" w:hAnsi="Verdana"/>
        </w:rPr>
        <w:t xml:space="preserve"> (</w:t>
      </w:r>
      <w:r w:rsidRPr="00A61430">
        <w:rPr>
          <w:rFonts w:ascii="Verdana" w:hAnsi="Verdana"/>
          <w:i/>
          <w:iCs/>
        </w:rPr>
        <w:t>υψηλοί δασμοί και λοιπά εμπόδια πρόσβασης</w:t>
      </w:r>
      <w:r w:rsidRPr="00A61430">
        <w:rPr>
          <w:rFonts w:ascii="Verdana" w:hAnsi="Verdana"/>
        </w:rPr>
        <w:t xml:space="preserve">), την οποία ούτως ή άλλως ακολουθούσε ανέκαθεν η χώρα, </w:t>
      </w:r>
      <w:r w:rsidRPr="00B2061E">
        <w:rPr>
          <w:rFonts w:ascii="Verdana" w:hAnsi="Verdana"/>
          <w:b/>
        </w:rPr>
        <w:t>ως μη μέλος του ΠΟΕ</w:t>
      </w:r>
      <w:r w:rsidRPr="00A61430">
        <w:rPr>
          <w:rFonts w:ascii="Verdana" w:hAnsi="Verdana"/>
        </w:rPr>
        <w:t xml:space="preserve">, αναμένεται να συνεχιστεί. Στο πλαίσιο αυτό εντάσσονται και οι έκτακτοι δασμοί σε πολλές κατηγορίες βασικών αγαθών, από 1/11/2016, με τους οποίους επιβαρύνονται κυρίως τα βασικά προϊόντα διατροφής και τα δομικά υλικά, ούτως ώστε </w:t>
      </w:r>
      <w:r w:rsidRPr="00A61430">
        <w:rPr>
          <w:rFonts w:ascii="Verdana" w:hAnsi="Verdana"/>
          <w:iCs/>
        </w:rPr>
        <w:t xml:space="preserve">να ενισχυθεί η εγχώρια παραγωγή αυτών. </w:t>
      </w:r>
      <w:r w:rsidR="004F5D23">
        <w:rPr>
          <w:rFonts w:ascii="Verdana" w:eastAsia="Times New Roman" w:hAnsi="Verdana" w:cs="Times New Roman"/>
        </w:rPr>
        <w:t xml:space="preserve">Η αγορά έχει ισχυρά </w:t>
      </w:r>
      <w:proofErr w:type="spellStart"/>
      <w:r w:rsidR="004F5D23">
        <w:rPr>
          <w:rFonts w:ascii="Verdana" w:eastAsia="Times New Roman" w:hAnsi="Verdana" w:cs="Times New Roman"/>
        </w:rPr>
        <w:t>ολιγοπωλιακά</w:t>
      </w:r>
      <w:proofErr w:type="spellEnd"/>
      <w:r w:rsidR="004F5D23">
        <w:rPr>
          <w:rFonts w:ascii="Verdana" w:eastAsia="Times New Roman" w:hAnsi="Verdana" w:cs="Times New Roman"/>
        </w:rPr>
        <w:t xml:space="preserve"> χαρακτηριστικά</w:t>
      </w:r>
      <w:r w:rsidR="00EA1FB3">
        <w:rPr>
          <w:rFonts w:ascii="Verdana" w:eastAsia="Times New Roman" w:hAnsi="Verdana" w:cs="Times New Roman"/>
        </w:rPr>
        <w:t>, αφού  κ</w:t>
      </w:r>
      <w:r w:rsidR="004F5D23">
        <w:rPr>
          <w:rFonts w:ascii="Verdana" w:eastAsia="Times New Roman" w:hAnsi="Verdana" w:cs="Times New Roman"/>
        </w:rPr>
        <w:t xml:space="preserve">υριαρχούν </w:t>
      </w:r>
      <w:r w:rsidR="00EA1FB3">
        <w:rPr>
          <w:rFonts w:ascii="Verdana" w:eastAsia="Times New Roman" w:hAnsi="Verdana" w:cs="Times New Roman"/>
        </w:rPr>
        <w:t>επιχειρηματικοί όμιλοι ,</w:t>
      </w:r>
      <w:r w:rsidRPr="00A61430">
        <w:rPr>
          <w:rFonts w:ascii="Verdana" w:eastAsia="Times New Roman" w:hAnsi="Verdana" w:cs="Times New Roman"/>
        </w:rPr>
        <w:t xml:space="preserve"> που ανήκουν στην </w:t>
      </w:r>
      <w:r w:rsidR="00EA1FB3">
        <w:rPr>
          <w:rFonts w:ascii="Verdana" w:eastAsia="Times New Roman" w:hAnsi="Verdana" w:cs="Times New Roman"/>
        </w:rPr>
        <w:t>άρχουσα τάξη</w:t>
      </w:r>
      <w:r w:rsidRPr="00A61430">
        <w:rPr>
          <w:rFonts w:ascii="Verdana" w:eastAsia="Times New Roman" w:hAnsi="Verdana" w:cs="Times New Roman"/>
        </w:rPr>
        <w:t xml:space="preserve"> και ελέγχουν όλους τους τομείς</w:t>
      </w:r>
      <w:r w:rsidR="00EA1FB3">
        <w:rPr>
          <w:rFonts w:ascii="Verdana" w:eastAsia="Times New Roman" w:hAnsi="Verdana" w:cs="Times New Roman"/>
        </w:rPr>
        <w:t xml:space="preserve"> της οικονομικής δραστηριότητας. Η εν λόγω κατάσταση</w:t>
      </w:r>
      <w:r w:rsidRPr="00A61430">
        <w:rPr>
          <w:rFonts w:ascii="Verdana" w:eastAsia="Times New Roman" w:hAnsi="Verdana" w:cs="Times New Roman"/>
        </w:rPr>
        <w:t xml:space="preserve"> </w:t>
      </w:r>
      <w:r w:rsidR="009018E1">
        <w:rPr>
          <w:rFonts w:ascii="Verdana" w:eastAsia="Times New Roman" w:hAnsi="Verdana" w:cs="Times New Roman"/>
        </w:rPr>
        <w:t>δημιουργεί προσκ</w:t>
      </w:r>
      <w:r w:rsidR="0092703B">
        <w:rPr>
          <w:rFonts w:ascii="Verdana" w:eastAsia="Times New Roman" w:hAnsi="Verdana" w:cs="Times New Roman"/>
        </w:rPr>
        <w:t>όμ</w:t>
      </w:r>
      <w:r w:rsidR="009018E1">
        <w:rPr>
          <w:rFonts w:ascii="Verdana" w:eastAsia="Times New Roman" w:hAnsi="Verdana" w:cs="Times New Roman"/>
        </w:rPr>
        <w:t xml:space="preserve">ματα </w:t>
      </w:r>
      <w:r w:rsidR="0092703B">
        <w:rPr>
          <w:rFonts w:ascii="Verdana" w:eastAsia="Times New Roman" w:hAnsi="Verdana" w:cs="Times New Roman"/>
        </w:rPr>
        <w:t xml:space="preserve">και </w:t>
      </w:r>
      <w:r w:rsidRPr="00A61430">
        <w:rPr>
          <w:rFonts w:ascii="Verdana" w:eastAsia="Times New Roman" w:hAnsi="Verdana" w:cs="Times New Roman"/>
        </w:rPr>
        <w:t>παρεμπο</w:t>
      </w:r>
      <w:r w:rsidR="009018E1">
        <w:rPr>
          <w:rFonts w:ascii="Verdana" w:eastAsia="Times New Roman" w:hAnsi="Verdana" w:cs="Times New Roman"/>
        </w:rPr>
        <w:t xml:space="preserve">δίζει </w:t>
      </w:r>
      <w:r w:rsidR="0092703B">
        <w:rPr>
          <w:rFonts w:ascii="Verdana" w:eastAsia="Times New Roman" w:hAnsi="Verdana" w:cs="Times New Roman"/>
        </w:rPr>
        <w:t xml:space="preserve">σημαντικά </w:t>
      </w:r>
      <w:r w:rsidR="009018E1">
        <w:rPr>
          <w:rFonts w:ascii="Verdana" w:eastAsia="Times New Roman" w:hAnsi="Verdana" w:cs="Times New Roman"/>
        </w:rPr>
        <w:t xml:space="preserve">την </w:t>
      </w:r>
      <w:r w:rsidR="0092703B">
        <w:rPr>
          <w:rFonts w:ascii="Verdana" w:eastAsia="Times New Roman" w:hAnsi="Verdana" w:cs="Times New Roman"/>
        </w:rPr>
        <w:t>εμπορική διείσδυση</w:t>
      </w:r>
      <w:r w:rsidR="009018E1" w:rsidRPr="009018E1">
        <w:rPr>
          <w:rFonts w:ascii="Verdana" w:hAnsi="Verdana"/>
        </w:rPr>
        <w:t xml:space="preserve"> </w:t>
      </w:r>
      <w:r w:rsidR="004F5D23">
        <w:rPr>
          <w:rFonts w:ascii="Verdana" w:hAnsi="Verdana"/>
        </w:rPr>
        <w:t>νέων εξωστρεφών επιχειρήσεων, που</w:t>
      </w:r>
      <w:r w:rsidR="00EA1FB3">
        <w:rPr>
          <w:rFonts w:ascii="Verdana" w:hAnsi="Verdana"/>
        </w:rPr>
        <w:t xml:space="preserve"> δεν</w:t>
      </w:r>
      <w:r w:rsidR="004F5D23">
        <w:rPr>
          <w:rFonts w:ascii="Verdana" w:hAnsi="Verdana"/>
        </w:rPr>
        <w:t xml:space="preserve"> είναι σε θέση </w:t>
      </w:r>
      <w:r w:rsidR="00EA1FB3">
        <w:rPr>
          <w:rFonts w:ascii="Verdana" w:hAnsi="Verdana"/>
        </w:rPr>
        <w:t>η δεν επιθυμούν</w:t>
      </w:r>
      <w:r w:rsidR="004F5D23">
        <w:rPr>
          <w:rFonts w:ascii="Verdana" w:hAnsi="Verdana"/>
        </w:rPr>
        <w:t xml:space="preserve"> να αποκτήσουν προσβάσεις στα προαναφερθέντα </w:t>
      </w:r>
      <w:r w:rsidR="00EA1FB3">
        <w:rPr>
          <w:rFonts w:ascii="Verdana" w:hAnsi="Verdana"/>
        </w:rPr>
        <w:t xml:space="preserve">πολιτικά και οικονομικά </w:t>
      </w:r>
      <w:r w:rsidR="004F5D23">
        <w:rPr>
          <w:rFonts w:ascii="Verdana" w:hAnsi="Verdana"/>
        </w:rPr>
        <w:t xml:space="preserve">κέντρα </w:t>
      </w:r>
      <w:r w:rsidR="00EA1FB3">
        <w:rPr>
          <w:rFonts w:ascii="Verdana" w:hAnsi="Verdana"/>
        </w:rPr>
        <w:t xml:space="preserve">λήψης </w:t>
      </w:r>
      <w:r w:rsidR="004F5D23">
        <w:rPr>
          <w:rFonts w:ascii="Verdana" w:hAnsi="Verdana"/>
        </w:rPr>
        <w:t>αποφάσεων</w:t>
      </w:r>
      <w:r w:rsidR="00B2061E">
        <w:rPr>
          <w:rFonts w:ascii="Verdana" w:hAnsi="Verdana"/>
        </w:rPr>
        <w:t xml:space="preserve">. Εν κατακλείδι, η </w:t>
      </w:r>
      <w:proofErr w:type="spellStart"/>
      <w:r w:rsidR="00B2061E">
        <w:rPr>
          <w:rFonts w:ascii="Verdana" w:hAnsi="Verdana"/>
        </w:rPr>
        <w:t>αζέρικη</w:t>
      </w:r>
      <w:proofErr w:type="spellEnd"/>
      <w:r w:rsidR="00EA1FB3">
        <w:rPr>
          <w:rFonts w:ascii="Verdana" w:hAnsi="Verdana"/>
        </w:rPr>
        <w:t xml:space="preserve"> εισαγωγική αγορά</w:t>
      </w:r>
      <w:r w:rsidR="0092703B">
        <w:rPr>
          <w:rFonts w:ascii="Verdana" w:hAnsi="Verdana"/>
        </w:rPr>
        <w:t xml:space="preserve"> </w:t>
      </w:r>
      <w:r w:rsidR="009018E1" w:rsidRPr="00A61430">
        <w:rPr>
          <w:rFonts w:ascii="Verdana" w:hAnsi="Verdana"/>
        </w:rPr>
        <w:t>ελάχιστη σχέση έχει με τις ελεύθερες αγορές, στις οποίες ήδη εξάγονται τα ελληνικά ποιοτικά προϊόντα.</w:t>
      </w:r>
    </w:p>
    <w:tbl>
      <w:tblPr>
        <w:tblStyle w:val="a9"/>
        <w:tblW w:w="0" w:type="auto"/>
        <w:tblInd w:w="378" w:type="dxa"/>
        <w:tblLook w:val="04A0" w:firstRow="1" w:lastRow="0" w:firstColumn="1" w:lastColumn="0" w:noHBand="0" w:noVBand="1"/>
      </w:tblPr>
      <w:tblGrid>
        <w:gridCol w:w="8280"/>
      </w:tblGrid>
      <w:tr w:rsidR="006457C2" w:rsidTr="000C5081">
        <w:tc>
          <w:tcPr>
            <w:tcW w:w="8280" w:type="dxa"/>
            <w:shd w:val="clear" w:color="auto" w:fill="DDD9C3" w:themeFill="background2" w:themeFillShade="E6"/>
          </w:tcPr>
          <w:p w:rsidR="006457C2" w:rsidRDefault="006457C2" w:rsidP="004E49F6">
            <w:pPr>
              <w:jc w:val="center"/>
              <w:rPr>
                <w:rFonts w:ascii="Verdana" w:hAnsi="Verdana"/>
                <w:b/>
                <w:bCs/>
                <w:sz w:val="24"/>
                <w:szCs w:val="24"/>
              </w:rPr>
            </w:pPr>
            <w:r w:rsidRPr="00FA7D62">
              <w:rPr>
                <w:rFonts w:ascii="Verdana" w:hAnsi="Verdana"/>
                <w:b/>
                <w:bCs/>
              </w:rPr>
              <w:t xml:space="preserve">Οι </w:t>
            </w:r>
            <w:proofErr w:type="spellStart"/>
            <w:r>
              <w:rPr>
                <w:rFonts w:ascii="Verdana" w:hAnsi="Verdana"/>
                <w:b/>
                <w:bCs/>
              </w:rPr>
              <w:t>σημαντικώτερες</w:t>
            </w:r>
            <w:proofErr w:type="spellEnd"/>
            <w:r>
              <w:rPr>
                <w:rFonts w:ascii="Verdana" w:hAnsi="Verdana"/>
                <w:b/>
                <w:bCs/>
              </w:rPr>
              <w:t xml:space="preserve"> κατηγορίες </w:t>
            </w:r>
            <w:proofErr w:type="spellStart"/>
            <w:r>
              <w:rPr>
                <w:rFonts w:ascii="Verdana" w:hAnsi="Verdana"/>
                <w:b/>
                <w:bCs/>
              </w:rPr>
              <w:t>αζερικών</w:t>
            </w:r>
            <w:proofErr w:type="spellEnd"/>
            <w:r>
              <w:rPr>
                <w:rFonts w:ascii="Verdana" w:hAnsi="Verdana"/>
                <w:b/>
                <w:bCs/>
              </w:rPr>
              <w:t xml:space="preserve"> εισαγωγών </w:t>
            </w:r>
            <w:r w:rsidRPr="00781DFA">
              <w:rPr>
                <w:rFonts w:ascii="Verdana" w:hAnsi="Verdana"/>
                <w:b/>
                <w:bCs/>
              </w:rPr>
              <w:t xml:space="preserve">το </w:t>
            </w:r>
            <w:r w:rsidR="005E44D9">
              <w:rPr>
                <w:rFonts w:ascii="Verdana" w:hAnsi="Verdana"/>
                <w:b/>
              </w:rPr>
              <w:t>2019</w:t>
            </w:r>
            <w:r>
              <w:rPr>
                <w:rFonts w:ascii="Verdana" w:hAnsi="Verdana"/>
                <w:b/>
              </w:rPr>
              <w:t xml:space="preserve"> </w:t>
            </w:r>
          </w:p>
        </w:tc>
      </w:tr>
    </w:tbl>
    <w:p w:rsidR="003C465F" w:rsidRDefault="003C465F" w:rsidP="003C465F">
      <w:pPr>
        <w:pStyle w:val="aa"/>
        <w:jc w:val="both"/>
        <w:rPr>
          <w:rFonts w:ascii="Verdana" w:hAnsi="Verdana"/>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0A0" w:firstRow="1" w:lastRow="0" w:firstColumn="1" w:lastColumn="0" w:noHBand="0" w:noVBand="0"/>
      </w:tblPr>
      <w:tblGrid>
        <w:gridCol w:w="4032"/>
        <w:gridCol w:w="2379"/>
        <w:gridCol w:w="2497"/>
      </w:tblGrid>
      <w:tr w:rsidR="004E49F6" w:rsidRPr="00FA7D62" w:rsidTr="000C5081">
        <w:tc>
          <w:tcPr>
            <w:tcW w:w="4140" w:type="dxa"/>
            <w:shd w:val="clear" w:color="auto" w:fill="DDD9C3" w:themeFill="background2" w:themeFillShade="E6"/>
          </w:tcPr>
          <w:p w:rsidR="004E49F6" w:rsidRPr="00FA7D62" w:rsidRDefault="004E49F6" w:rsidP="003558CC">
            <w:pPr>
              <w:jc w:val="center"/>
              <w:rPr>
                <w:rFonts w:ascii="Verdana" w:hAnsi="Verdana"/>
              </w:rPr>
            </w:pPr>
          </w:p>
        </w:tc>
        <w:tc>
          <w:tcPr>
            <w:tcW w:w="2430" w:type="dxa"/>
            <w:shd w:val="clear" w:color="auto" w:fill="DDD9C3" w:themeFill="background2" w:themeFillShade="E6"/>
          </w:tcPr>
          <w:p w:rsidR="004E49F6" w:rsidRPr="00FA7D62" w:rsidRDefault="00477EB1" w:rsidP="00477EB1">
            <w:pPr>
              <w:jc w:val="center"/>
              <w:rPr>
                <w:rFonts w:ascii="Verdana" w:hAnsi="Verdana"/>
              </w:rPr>
            </w:pPr>
            <w:r>
              <w:rPr>
                <w:rFonts w:ascii="Verdana" w:hAnsi="Verdana"/>
              </w:rPr>
              <w:t>000</w:t>
            </w:r>
            <w:r w:rsidR="004E49F6" w:rsidRPr="00FA7D62">
              <w:rPr>
                <w:rFonts w:ascii="Verdana" w:hAnsi="Verdana"/>
              </w:rPr>
              <w:t xml:space="preserve"> </w:t>
            </w:r>
            <w:r>
              <w:rPr>
                <w:rFonts w:ascii="Verdana" w:hAnsi="Verdana"/>
                <w:lang w:val="en-US"/>
              </w:rPr>
              <w:t xml:space="preserve">US </w:t>
            </w:r>
            <w:r w:rsidR="004E49F6" w:rsidRPr="00FA7D62">
              <w:rPr>
                <w:rFonts w:ascii="Verdana" w:hAnsi="Verdana"/>
              </w:rPr>
              <w:t>$</w:t>
            </w:r>
          </w:p>
        </w:tc>
        <w:tc>
          <w:tcPr>
            <w:tcW w:w="2564" w:type="dxa"/>
            <w:shd w:val="clear" w:color="auto" w:fill="DDD9C3" w:themeFill="background2" w:themeFillShade="E6"/>
          </w:tcPr>
          <w:p w:rsidR="004E49F6" w:rsidRPr="00FA7D62" w:rsidRDefault="00477EB1" w:rsidP="00477EB1">
            <w:pPr>
              <w:jc w:val="center"/>
              <w:rPr>
                <w:rFonts w:ascii="Verdana" w:hAnsi="Verdana"/>
              </w:rPr>
            </w:pPr>
            <w:r>
              <w:rPr>
                <w:rFonts w:ascii="Verdana" w:hAnsi="Verdana"/>
              </w:rPr>
              <w:t>%</w:t>
            </w:r>
            <w:r w:rsidR="004E49F6">
              <w:rPr>
                <w:rFonts w:ascii="Verdana" w:hAnsi="Verdana"/>
              </w:rPr>
              <w:t xml:space="preserve"> επί του συνόλου</w:t>
            </w:r>
          </w:p>
        </w:tc>
      </w:tr>
      <w:tr w:rsidR="004E49F6" w:rsidRPr="00FA7D62" w:rsidTr="000C5081">
        <w:tc>
          <w:tcPr>
            <w:tcW w:w="4140" w:type="dxa"/>
            <w:shd w:val="clear" w:color="auto" w:fill="DDD9C3" w:themeFill="background2" w:themeFillShade="E6"/>
          </w:tcPr>
          <w:p w:rsidR="004E49F6" w:rsidRPr="00FA7D62" w:rsidRDefault="004E49F6" w:rsidP="00477EB1">
            <w:pPr>
              <w:rPr>
                <w:rFonts w:ascii="Verdana" w:hAnsi="Verdana"/>
              </w:rPr>
            </w:pPr>
            <w:r w:rsidRPr="00FA7D62">
              <w:rPr>
                <w:rFonts w:ascii="Verdana" w:hAnsi="Verdana"/>
              </w:rPr>
              <w:t>Μηχανολογικός εξοπλισμός</w:t>
            </w:r>
            <w:r w:rsidR="00833777">
              <w:rPr>
                <w:rFonts w:ascii="Verdana" w:hAnsi="Verdana"/>
              </w:rPr>
              <w:t>-οχήματα</w:t>
            </w:r>
          </w:p>
        </w:tc>
        <w:tc>
          <w:tcPr>
            <w:tcW w:w="2430" w:type="dxa"/>
            <w:shd w:val="clear" w:color="auto" w:fill="DDD9C3" w:themeFill="background2" w:themeFillShade="E6"/>
          </w:tcPr>
          <w:p w:rsidR="004E49F6" w:rsidRPr="00FA7D62" w:rsidRDefault="0004198E" w:rsidP="004F5D23">
            <w:pPr>
              <w:jc w:val="center"/>
              <w:rPr>
                <w:rFonts w:ascii="Verdana" w:hAnsi="Verdana"/>
              </w:rPr>
            </w:pPr>
            <w:r>
              <w:rPr>
                <w:rFonts w:ascii="Verdana" w:hAnsi="Verdana"/>
              </w:rPr>
              <w:t>3.876.354</w:t>
            </w:r>
          </w:p>
        </w:tc>
        <w:tc>
          <w:tcPr>
            <w:tcW w:w="2564" w:type="dxa"/>
            <w:shd w:val="clear" w:color="auto" w:fill="DDD9C3" w:themeFill="background2" w:themeFillShade="E6"/>
          </w:tcPr>
          <w:p w:rsidR="004E49F6" w:rsidRPr="00FA7D62" w:rsidRDefault="00833777" w:rsidP="004F5D23">
            <w:pPr>
              <w:jc w:val="center"/>
              <w:rPr>
                <w:rFonts w:ascii="Verdana" w:hAnsi="Verdana"/>
              </w:rPr>
            </w:pPr>
            <w:r>
              <w:rPr>
                <w:rFonts w:ascii="Verdana" w:hAnsi="Verdana"/>
              </w:rPr>
              <w:t>28,4</w:t>
            </w:r>
            <w:r w:rsidR="00477EB1">
              <w:rPr>
                <w:rFonts w:ascii="Verdana" w:hAnsi="Verdana"/>
              </w:rPr>
              <w:t>%</w:t>
            </w:r>
          </w:p>
        </w:tc>
      </w:tr>
      <w:tr w:rsidR="004E49F6" w:rsidRPr="00FA7D62" w:rsidTr="000C5081">
        <w:tc>
          <w:tcPr>
            <w:tcW w:w="4140" w:type="dxa"/>
            <w:shd w:val="clear" w:color="auto" w:fill="DDD9C3" w:themeFill="background2" w:themeFillShade="E6"/>
          </w:tcPr>
          <w:p w:rsidR="004E49F6" w:rsidRPr="00FA7D62" w:rsidRDefault="0004198E" w:rsidP="003558CC">
            <w:pPr>
              <w:rPr>
                <w:rFonts w:ascii="Verdana" w:hAnsi="Verdana"/>
              </w:rPr>
            </w:pPr>
            <w:r>
              <w:rPr>
                <w:rFonts w:ascii="Verdana" w:hAnsi="Verdana"/>
              </w:rPr>
              <w:t>Βιομηχανικά προϊόντα</w:t>
            </w:r>
          </w:p>
        </w:tc>
        <w:tc>
          <w:tcPr>
            <w:tcW w:w="2430" w:type="dxa"/>
            <w:shd w:val="clear" w:color="auto" w:fill="DDD9C3" w:themeFill="background2" w:themeFillShade="E6"/>
          </w:tcPr>
          <w:p w:rsidR="004E49F6" w:rsidRPr="00FA7D62" w:rsidRDefault="0004198E" w:rsidP="004F5D23">
            <w:pPr>
              <w:jc w:val="center"/>
              <w:rPr>
                <w:rFonts w:ascii="Verdana" w:hAnsi="Verdana"/>
              </w:rPr>
            </w:pPr>
            <w:r>
              <w:rPr>
                <w:rFonts w:ascii="Verdana" w:hAnsi="Verdana"/>
              </w:rPr>
              <w:t>2.140.685</w:t>
            </w:r>
          </w:p>
        </w:tc>
        <w:tc>
          <w:tcPr>
            <w:tcW w:w="2564" w:type="dxa"/>
            <w:shd w:val="clear" w:color="auto" w:fill="DDD9C3" w:themeFill="background2" w:themeFillShade="E6"/>
          </w:tcPr>
          <w:p w:rsidR="004E49F6" w:rsidRPr="00FA7D62" w:rsidRDefault="00833777" w:rsidP="004F5D23">
            <w:pPr>
              <w:jc w:val="center"/>
              <w:rPr>
                <w:rFonts w:ascii="Verdana" w:hAnsi="Verdana"/>
              </w:rPr>
            </w:pPr>
            <w:r>
              <w:rPr>
                <w:rFonts w:ascii="Verdana" w:hAnsi="Verdana"/>
              </w:rPr>
              <w:t>15,7</w:t>
            </w:r>
            <w:r w:rsidR="00477EB1">
              <w:rPr>
                <w:rFonts w:ascii="Verdana" w:hAnsi="Verdana"/>
              </w:rPr>
              <w:t>%</w:t>
            </w:r>
          </w:p>
        </w:tc>
      </w:tr>
      <w:tr w:rsidR="0004198E" w:rsidRPr="00FA7D62" w:rsidTr="000C5081">
        <w:tc>
          <w:tcPr>
            <w:tcW w:w="4140" w:type="dxa"/>
            <w:shd w:val="clear" w:color="auto" w:fill="DDD9C3" w:themeFill="background2" w:themeFillShade="E6"/>
          </w:tcPr>
          <w:p w:rsidR="0004198E" w:rsidRDefault="0004198E" w:rsidP="003558CC">
            <w:pPr>
              <w:rPr>
                <w:rFonts w:ascii="Verdana" w:hAnsi="Verdana"/>
              </w:rPr>
            </w:pPr>
            <w:r>
              <w:rPr>
                <w:rFonts w:ascii="Verdana" w:hAnsi="Verdana"/>
              </w:rPr>
              <w:t>Μη ταξινομημένα</w:t>
            </w:r>
          </w:p>
        </w:tc>
        <w:tc>
          <w:tcPr>
            <w:tcW w:w="2430" w:type="dxa"/>
            <w:shd w:val="clear" w:color="auto" w:fill="DDD9C3" w:themeFill="background2" w:themeFillShade="E6"/>
          </w:tcPr>
          <w:p w:rsidR="0004198E" w:rsidRDefault="0004198E" w:rsidP="004F5D23">
            <w:pPr>
              <w:jc w:val="center"/>
              <w:rPr>
                <w:rFonts w:ascii="Verdana" w:hAnsi="Verdana"/>
              </w:rPr>
            </w:pPr>
            <w:r>
              <w:rPr>
                <w:rFonts w:ascii="Verdana" w:hAnsi="Verdana"/>
              </w:rPr>
              <w:t>2.130.036</w:t>
            </w:r>
          </w:p>
        </w:tc>
        <w:tc>
          <w:tcPr>
            <w:tcW w:w="2564" w:type="dxa"/>
            <w:shd w:val="clear" w:color="auto" w:fill="DDD9C3" w:themeFill="background2" w:themeFillShade="E6"/>
          </w:tcPr>
          <w:p w:rsidR="0004198E" w:rsidRDefault="00833777" w:rsidP="004F5D23">
            <w:pPr>
              <w:jc w:val="center"/>
              <w:rPr>
                <w:rFonts w:ascii="Verdana" w:hAnsi="Verdana"/>
              </w:rPr>
            </w:pPr>
            <w:r>
              <w:rPr>
                <w:rFonts w:ascii="Verdana" w:hAnsi="Verdana"/>
              </w:rPr>
              <w:t>15,6%</w:t>
            </w:r>
          </w:p>
        </w:tc>
      </w:tr>
      <w:tr w:rsidR="0004198E" w:rsidRPr="00FA7D62" w:rsidTr="000C5081">
        <w:tc>
          <w:tcPr>
            <w:tcW w:w="4140" w:type="dxa"/>
            <w:shd w:val="clear" w:color="auto" w:fill="DDD9C3" w:themeFill="background2" w:themeFillShade="E6"/>
          </w:tcPr>
          <w:p w:rsidR="0004198E" w:rsidRDefault="0004198E" w:rsidP="0004198E">
            <w:pPr>
              <w:rPr>
                <w:rFonts w:ascii="Verdana" w:hAnsi="Verdana"/>
              </w:rPr>
            </w:pPr>
            <w:r>
              <w:rPr>
                <w:rFonts w:ascii="Verdana" w:hAnsi="Verdana"/>
              </w:rPr>
              <w:t>Τρόφιμα και ζώα ζωντανά</w:t>
            </w:r>
          </w:p>
        </w:tc>
        <w:tc>
          <w:tcPr>
            <w:tcW w:w="2430" w:type="dxa"/>
            <w:shd w:val="clear" w:color="auto" w:fill="DDD9C3" w:themeFill="background2" w:themeFillShade="E6"/>
          </w:tcPr>
          <w:p w:rsidR="0004198E" w:rsidRDefault="0004198E" w:rsidP="004F5D23">
            <w:pPr>
              <w:jc w:val="center"/>
              <w:rPr>
                <w:rFonts w:ascii="Verdana" w:hAnsi="Verdana"/>
              </w:rPr>
            </w:pPr>
            <w:r>
              <w:rPr>
                <w:rFonts w:ascii="Verdana" w:hAnsi="Verdana"/>
              </w:rPr>
              <w:t>1.557.988</w:t>
            </w:r>
          </w:p>
        </w:tc>
        <w:tc>
          <w:tcPr>
            <w:tcW w:w="2564" w:type="dxa"/>
            <w:shd w:val="clear" w:color="auto" w:fill="DDD9C3" w:themeFill="background2" w:themeFillShade="E6"/>
          </w:tcPr>
          <w:p w:rsidR="0004198E" w:rsidRDefault="00833777" w:rsidP="004F5D23">
            <w:pPr>
              <w:jc w:val="center"/>
              <w:rPr>
                <w:rFonts w:ascii="Verdana" w:hAnsi="Verdana"/>
              </w:rPr>
            </w:pPr>
            <w:r>
              <w:rPr>
                <w:rFonts w:ascii="Verdana" w:hAnsi="Verdana"/>
              </w:rPr>
              <w:t>11,4%</w:t>
            </w:r>
          </w:p>
        </w:tc>
      </w:tr>
      <w:tr w:rsidR="004E49F6" w:rsidRPr="00FA7D62" w:rsidTr="000C5081">
        <w:tc>
          <w:tcPr>
            <w:tcW w:w="4140" w:type="dxa"/>
            <w:shd w:val="clear" w:color="auto" w:fill="DDD9C3" w:themeFill="background2" w:themeFillShade="E6"/>
          </w:tcPr>
          <w:p w:rsidR="004E49F6" w:rsidRPr="00FA7D62" w:rsidRDefault="004E49F6" w:rsidP="003558CC">
            <w:pPr>
              <w:rPr>
                <w:rFonts w:ascii="Verdana" w:hAnsi="Verdana"/>
              </w:rPr>
            </w:pPr>
            <w:r w:rsidRPr="00FA7D62">
              <w:rPr>
                <w:rFonts w:ascii="Verdana" w:hAnsi="Verdana"/>
              </w:rPr>
              <w:t>Χημικά και συναφή προϊόντα</w:t>
            </w:r>
          </w:p>
        </w:tc>
        <w:tc>
          <w:tcPr>
            <w:tcW w:w="2430" w:type="dxa"/>
            <w:shd w:val="clear" w:color="auto" w:fill="DDD9C3" w:themeFill="background2" w:themeFillShade="E6"/>
          </w:tcPr>
          <w:p w:rsidR="004E49F6" w:rsidRPr="00FA7D62" w:rsidRDefault="0004198E" w:rsidP="004F5D23">
            <w:pPr>
              <w:jc w:val="center"/>
              <w:rPr>
                <w:rFonts w:ascii="Verdana" w:hAnsi="Verdana"/>
              </w:rPr>
            </w:pPr>
            <w:r>
              <w:rPr>
                <w:rFonts w:ascii="Verdana" w:hAnsi="Verdana"/>
              </w:rPr>
              <w:t>1.313.320</w:t>
            </w:r>
          </w:p>
        </w:tc>
        <w:tc>
          <w:tcPr>
            <w:tcW w:w="2564" w:type="dxa"/>
            <w:shd w:val="clear" w:color="auto" w:fill="DDD9C3" w:themeFill="background2" w:themeFillShade="E6"/>
          </w:tcPr>
          <w:p w:rsidR="004E49F6" w:rsidRPr="00FA7D62" w:rsidRDefault="00833777" w:rsidP="004F5D23">
            <w:pPr>
              <w:jc w:val="center"/>
              <w:rPr>
                <w:rFonts w:ascii="Verdana" w:hAnsi="Verdana"/>
              </w:rPr>
            </w:pPr>
            <w:r>
              <w:rPr>
                <w:rFonts w:ascii="Verdana" w:hAnsi="Verdana"/>
              </w:rPr>
              <w:t>9,6</w:t>
            </w:r>
            <w:r w:rsidR="00477EB1">
              <w:rPr>
                <w:rFonts w:ascii="Verdana" w:hAnsi="Verdana"/>
              </w:rPr>
              <w:t>%</w:t>
            </w:r>
          </w:p>
        </w:tc>
      </w:tr>
      <w:tr w:rsidR="00833777" w:rsidRPr="00FA7D62" w:rsidTr="000C5081">
        <w:tc>
          <w:tcPr>
            <w:tcW w:w="4140" w:type="dxa"/>
            <w:shd w:val="clear" w:color="auto" w:fill="DDD9C3" w:themeFill="background2" w:themeFillShade="E6"/>
          </w:tcPr>
          <w:p w:rsidR="00833777" w:rsidRPr="00FA7D62" w:rsidRDefault="00833777" w:rsidP="003558CC">
            <w:pPr>
              <w:rPr>
                <w:rFonts w:ascii="Verdana" w:hAnsi="Verdana"/>
              </w:rPr>
            </w:pPr>
            <w:r>
              <w:rPr>
                <w:rFonts w:ascii="Verdana" w:hAnsi="Verdana"/>
              </w:rPr>
              <w:t>Διάφορα βιομηχανικά</w:t>
            </w:r>
          </w:p>
        </w:tc>
        <w:tc>
          <w:tcPr>
            <w:tcW w:w="2430" w:type="dxa"/>
            <w:shd w:val="clear" w:color="auto" w:fill="DDD9C3" w:themeFill="background2" w:themeFillShade="E6"/>
          </w:tcPr>
          <w:p w:rsidR="00833777" w:rsidRDefault="00833777" w:rsidP="004F5D23">
            <w:pPr>
              <w:jc w:val="center"/>
              <w:rPr>
                <w:rFonts w:ascii="Verdana" w:hAnsi="Verdana"/>
              </w:rPr>
            </w:pPr>
            <w:r>
              <w:rPr>
                <w:rFonts w:ascii="Verdana" w:hAnsi="Verdana"/>
              </w:rPr>
              <w:t>1.161.345</w:t>
            </w:r>
          </w:p>
        </w:tc>
        <w:tc>
          <w:tcPr>
            <w:tcW w:w="2564" w:type="dxa"/>
            <w:shd w:val="clear" w:color="auto" w:fill="DDD9C3" w:themeFill="background2" w:themeFillShade="E6"/>
          </w:tcPr>
          <w:p w:rsidR="00833777" w:rsidRDefault="00833777" w:rsidP="004F5D23">
            <w:pPr>
              <w:jc w:val="center"/>
              <w:rPr>
                <w:rFonts w:ascii="Verdana" w:hAnsi="Verdana"/>
              </w:rPr>
            </w:pPr>
            <w:r>
              <w:rPr>
                <w:rFonts w:ascii="Verdana" w:hAnsi="Verdana"/>
              </w:rPr>
              <w:t>8,5%</w:t>
            </w:r>
          </w:p>
        </w:tc>
      </w:tr>
      <w:tr w:rsidR="00477EB1" w:rsidRPr="00FA7D62" w:rsidTr="000C5081">
        <w:tc>
          <w:tcPr>
            <w:tcW w:w="4140" w:type="dxa"/>
            <w:shd w:val="clear" w:color="auto" w:fill="DDD9C3" w:themeFill="background2" w:themeFillShade="E6"/>
          </w:tcPr>
          <w:p w:rsidR="00477EB1" w:rsidRPr="00FA7D62" w:rsidRDefault="0004198E" w:rsidP="003558CC">
            <w:pPr>
              <w:rPr>
                <w:rFonts w:ascii="Verdana" w:hAnsi="Verdana"/>
              </w:rPr>
            </w:pPr>
            <w:r>
              <w:rPr>
                <w:rFonts w:ascii="Verdana" w:hAnsi="Verdana"/>
              </w:rPr>
              <w:t>Καύσιμα και λιπαντικά</w:t>
            </w:r>
          </w:p>
        </w:tc>
        <w:tc>
          <w:tcPr>
            <w:tcW w:w="2430" w:type="dxa"/>
            <w:shd w:val="clear" w:color="auto" w:fill="DDD9C3" w:themeFill="background2" w:themeFillShade="E6"/>
          </w:tcPr>
          <w:p w:rsidR="00477EB1" w:rsidRDefault="0004198E" w:rsidP="004F5D23">
            <w:pPr>
              <w:jc w:val="center"/>
              <w:rPr>
                <w:rFonts w:ascii="Verdana" w:hAnsi="Verdana"/>
              </w:rPr>
            </w:pPr>
            <w:r>
              <w:rPr>
                <w:rFonts w:ascii="Verdana" w:hAnsi="Verdana"/>
              </w:rPr>
              <w:t>827.322</w:t>
            </w:r>
          </w:p>
        </w:tc>
        <w:tc>
          <w:tcPr>
            <w:tcW w:w="2564" w:type="dxa"/>
            <w:shd w:val="clear" w:color="auto" w:fill="DDD9C3" w:themeFill="background2" w:themeFillShade="E6"/>
          </w:tcPr>
          <w:p w:rsidR="00477EB1" w:rsidRDefault="00833777" w:rsidP="004F5D23">
            <w:pPr>
              <w:jc w:val="center"/>
              <w:rPr>
                <w:rFonts w:ascii="Verdana" w:hAnsi="Verdana"/>
              </w:rPr>
            </w:pPr>
            <w:r>
              <w:rPr>
                <w:rFonts w:ascii="Verdana" w:hAnsi="Verdana"/>
              </w:rPr>
              <w:t>6,1%</w:t>
            </w:r>
          </w:p>
        </w:tc>
      </w:tr>
      <w:tr w:rsidR="004E49F6" w:rsidRPr="00FA7D62" w:rsidTr="000C5081">
        <w:tc>
          <w:tcPr>
            <w:tcW w:w="4140" w:type="dxa"/>
            <w:shd w:val="clear" w:color="auto" w:fill="DDD9C3" w:themeFill="background2" w:themeFillShade="E6"/>
          </w:tcPr>
          <w:p w:rsidR="004E49F6" w:rsidRPr="00FA7D62" w:rsidRDefault="0004198E" w:rsidP="00477EB1">
            <w:pPr>
              <w:rPr>
                <w:rFonts w:ascii="Verdana" w:hAnsi="Verdana"/>
              </w:rPr>
            </w:pPr>
            <w:r>
              <w:rPr>
                <w:rFonts w:ascii="Verdana" w:hAnsi="Verdana"/>
              </w:rPr>
              <w:t>Πρώτες ύλες</w:t>
            </w:r>
          </w:p>
        </w:tc>
        <w:tc>
          <w:tcPr>
            <w:tcW w:w="2430" w:type="dxa"/>
            <w:shd w:val="clear" w:color="auto" w:fill="DDD9C3" w:themeFill="background2" w:themeFillShade="E6"/>
          </w:tcPr>
          <w:p w:rsidR="004E49F6" w:rsidRPr="00FA7D62" w:rsidRDefault="0004198E" w:rsidP="004F5D23">
            <w:pPr>
              <w:jc w:val="center"/>
              <w:rPr>
                <w:rFonts w:ascii="Verdana" w:hAnsi="Verdana"/>
              </w:rPr>
            </w:pPr>
            <w:r>
              <w:rPr>
                <w:rFonts w:ascii="Verdana" w:hAnsi="Verdana"/>
              </w:rPr>
              <w:t>362.080</w:t>
            </w:r>
          </w:p>
        </w:tc>
        <w:tc>
          <w:tcPr>
            <w:tcW w:w="2564" w:type="dxa"/>
            <w:shd w:val="clear" w:color="auto" w:fill="DDD9C3" w:themeFill="background2" w:themeFillShade="E6"/>
          </w:tcPr>
          <w:p w:rsidR="004E49F6" w:rsidRPr="00FA7D62" w:rsidRDefault="00833777" w:rsidP="004F5D23">
            <w:pPr>
              <w:jc w:val="center"/>
              <w:rPr>
                <w:rFonts w:ascii="Verdana" w:hAnsi="Verdana"/>
              </w:rPr>
            </w:pPr>
            <w:r>
              <w:rPr>
                <w:rFonts w:ascii="Verdana" w:hAnsi="Verdana"/>
              </w:rPr>
              <w:t>2,6</w:t>
            </w:r>
            <w:r w:rsidR="00477EB1">
              <w:rPr>
                <w:rFonts w:ascii="Verdana" w:hAnsi="Verdana"/>
              </w:rPr>
              <w:t>%</w:t>
            </w:r>
          </w:p>
        </w:tc>
      </w:tr>
      <w:tr w:rsidR="00477EB1" w:rsidRPr="00FA7D62" w:rsidTr="000C5081">
        <w:tc>
          <w:tcPr>
            <w:tcW w:w="4140" w:type="dxa"/>
            <w:shd w:val="clear" w:color="auto" w:fill="DDD9C3" w:themeFill="background2" w:themeFillShade="E6"/>
          </w:tcPr>
          <w:p w:rsidR="00477EB1" w:rsidRDefault="0004198E" w:rsidP="00477EB1">
            <w:pPr>
              <w:rPr>
                <w:rFonts w:ascii="Verdana" w:hAnsi="Verdana"/>
              </w:rPr>
            </w:pPr>
            <w:r>
              <w:rPr>
                <w:rFonts w:ascii="Verdana" w:hAnsi="Verdana"/>
              </w:rPr>
              <w:t>Ποτά και καπνός</w:t>
            </w:r>
          </w:p>
        </w:tc>
        <w:tc>
          <w:tcPr>
            <w:tcW w:w="2430" w:type="dxa"/>
            <w:shd w:val="clear" w:color="auto" w:fill="DDD9C3" w:themeFill="background2" w:themeFillShade="E6"/>
          </w:tcPr>
          <w:p w:rsidR="00477EB1" w:rsidRDefault="0004198E" w:rsidP="004F5D23">
            <w:pPr>
              <w:jc w:val="center"/>
              <w:rPr>
                <w:rFonts w:ascii="Verdana" w:hAnsi="Verdana"/>
              </w:rPr>
            </w:pPr>
            <w:r>
              <w:rPr>
                <w:rFonts w:ascii="Verdana" w:hAnsi="Verdana"/>
              </w:rPr>
              <w:t>182.630</w:t>
            </w:r>
          </w:p>
        </w:tc>
        <w:tc>
          <w:tcPr>
            <w:tcW w:w="2564" w:type="dxa"/>
            <w:shd w:val="clear" w:color="auto" w:fill="DDD9C3" w:themeFill="background2" w:themeFillShade="E6"/>
          </w:tcPr>
          <w:p w:rsidR="00477EB1" w:rsidRDefault="00833777" w:rsidP="004F5D23">
            <w:pPr>
              <w:jc w:val="center"/>
              <w:rPr>
                <w:rFonts w:ascii="Verdana" w:hAnsi="Verdana"/>
              </w:rPr>
            </w:pPr>
            <w:r>
              <w:rPr>
                <w:rFonts w:ascii="Verdana" w:hAnsi="Verdana"/>
              </w:rPr>
              <w:t>1,3</w:t>
            </w:r>
            <w:r w:rsidR="00477EB1">
              <w:rPr>
                <w:rFonts w:ascii="Verdana" w:hAnsi="Verdana"/>
              </w:rPr>
              <w:t>%</w:t>
            </w:r>
          </w:p>
        </w:tc>
      </w:tr>
      <w:tr w:rsidR="004E49F6" w:rsidRPr="00FA7D62" w:rsidTr="000C5081">
        <w:tc>
          <w:tcPr>
            <w:tcW w:w="4140" w:type="dxa"/>
            <w:shd w:val="clear" w:color="auto" w:fill="DDD9C3" w:themeFill="background2" w:themeFillShade="E6"/>
          </w:tcPr>
          <w:p w:rsidR="004E49F6" w:rsidRPr="00FA7D62" w:rsidRDefault="00833777" w:rsidP="003558CC">
            <w:pPr>
              <w:rPr>
                <w:rFonts w:ascii="Verdana" w:hAnsi="Verdana"/>
              </w:rPr>
            </w:pPr>
            <w:r>
              <w:rPr>
                <w:rFonts w:ascii="Verdana" w:hAnsi="Verdana"/>
              </w:rPr>
              <w:t xml:space="preserve">Φυτικά και </w:t>
            </w:r>
            <w:proofErr w:type="spellStart"/>
            <w:r>
              <w:rPr>
                <w:rFonts w:ascii="Verdana" w:hAnsi="Verdana"/>
              </w:rPr>
              <w:t>ζωϊκά</w:t>
            </w:r>
            <w:proofErr w:type="spellEnd"/>
            <w:r>
              <w:rPr>
                <w:rFonts w:ascii="Verdana" w:hAnsi="Verdana"/>
              </w:rPr>
              <w:t xml:space="preserve"> λίπη</w:t>
            </w:r>
          </w:p>
        </w:tc>
        <w:tc>
          <w:tcPr>
            <w:tcW w:w="2430" w:type="dxa"/>
            <w:shd w:val="clear" w:color="auto" w:fill="DDD9C3" w:themeFill="background2" w:themeFillShade="E6"/>
          </w:tcPr>
          <w:p w:rsidR="004E49F6" w:rsidRPr="00FA7D62" w:rsidRDefault="00833777" w:rsidP="004F5D23">
            <w:pPr>
              <w:jc w:val="center"/>
              <w:rPr>
                <w:rFonts w:ascii="Verdana" w:hAnsi="Verdana"/>
              </w:rPr>
            </w:pPr>
            <w:r>
              <w:rPr>
                <w:rFonts w:ascii="Verdana" w:hAnsi="Verdana"/>
              </w:rPr>
              <w:t>115.473</w:t>
            </w:r>
          </w:p>
        </w:tc>
        <w:tc>
          <w:tcPr>
            <w:tcW w:w="2564" w:type="dxa"/>
            <w:shd w:val="clear" w:color="auto" w:fill="DDD9C3" w:themeFill="background2" w:themeFillShade="E6"/>
          </w:tcPr>
          <w:p w:rsidR="004E49F6" w:rsidRPr="00FA7D62" w:rsidRDefault="00833777" w:rsidP="004F5D23">
            <w:pPr>
              <w:jc w:val="center"/>
              <w:rPr>
                <w:rFonts w:ascii="Verdana" w:hAnsi="Verdana"/>
              </w:rPr>
            </w:pPr>
            <w:r>
              <w:rPr>
                <w:rFonts w:ascii="Verdana" w:hAnsi="Verdana"/>
              </w:rPr>
              <w:t>0,8%</w:t>
            </w:r>
          </w:p>
        </w:tc>
      </w:tr>
    </w:tbl>
    <w:p w:rsidR="003B4E55" w:rsidRDefault="00FA7D62" w:rsidP="00A61430">
      <w:pPr>
        <w:jc w:val="both"/>
        <w:rPr>
          <w:rFonts w:ascii="Verdana" w:hAnsi="Verdana"/>
        </w:rPr>
      </w:pPr>
      <w:r w:rsidRPr="00A8337F">
        <w:rPr>
          <w:rFonts w:ascii="Verdana" w:hAnsi="Verdana"/>
          <w:b/>
        </w:rPr>
        <w:t>Πηγή:</w:t>
      </w:r>
      <w:r w:rsidRPr="00FA7D62">
        <w:rPr>
          <w:rFonts w:ascii="Verdana" w:hAnsi="Verdana"/>
        </w:rPr>
        <w:t xml:space="preserve"> Στατιστική Υπηρεσία Αζερμπαϊτζάν</w:t>
      </w:r>
    </w:p>
    <w:p w:rsidR="00B20433" w:rsidRDefault="003B4E55" w:rsidP="00B20433">
      <w:pPr>
        <w:jc w:val="both"/>
        <w:rPr>
          <w:rFonts w:ascii="Verdana" w:hAnsi="Verdana"/>
        </w:rPr>
      </w:pPr>
      <w:r>
        <w:rPr>
          <w:rFonts w:ascii="Verdana" w:hAnsi="Verdana"/>
        </w:rPr>
        <w:t>Στο</w:t>
      </w:r>
      <w:r w:rsidR="00C20366" w:rsidRPr="00A61430">
        <w:rPr>
          <w:rFonts w:ascii="Verdana" w:hAnsi="Verdana"/>
        </w:rPr>
        <w:t xml:space="preserve"> Αζερμπαϊτζάν μόνον οι χώρες με αυξημένο </w:t>
      </w:r>
      <w:r w:rsidR="00C20366" w:rsidRPr="00A61430">
        <w:rPr>
          <w:rFonts w:ascii="Verdana" w:hAnsi="Verdana"/>
          <w:i/>
          <w:iCs/>
        </w:rPr>
        <w:t>«γεωπολιτικό βάρος»</w:t>
      </w:r>
      <w:r w:rsidR="00C20366" w:rsidRPr="00A61430">
        <w:rPr>
          <w:rFonts w:ascii="Verdana" w:hAnsi="Verdana"/>
        </w:rPr>
        <w:t xml:space="preserve"> ή, έστω, με ισχυρά συγκριτικά πλεονεκτήματα επιτυγχάνουν επαρκή </w:t>
      </w:r>
      <w:r w:rsidR="006E4EC8">
        <w:rPr>
          <w:rFonts w:ascii="Verdana" w:hAnsi="Verdana"/>
        </w:rPr>
        <w:t>διείσδυση</w:t>
      </w:r>
      <w:r>
        <w:rPr>
          <w:rFonts w:ascii="Verdana" w:hAnsi="Verdana"/>
        </w:rPr>
        <w:t xml:space="preserve">: </w:t>
      </w:r>
      <w:r w:rsidR="002D54D0" w:rsidRPr="002D54D0">
        <w:rPr>
          <w:rFonts w:ascii="Verdana" w:hAnsi="Verdana"/>
        </w:rPr>
        <w:t>το 2019</w:t>
      </w:r>
      <w:r w:rsidR="00C20366" w:rsidRPr="00A61430">
        <w:rPr>
          <w:rFonts w:ascii="Verdana" w:hAnsi="Verdana"/>
        </w:rPr>
        <w:t xml:space="preserve"> η πανίσχυρη Ρωσία -με την οποία ισχύει από το 1992 και συμφωνία ελευθέρου εμπορίου- κατείχε μερίδιο </w:t>
      </w:r>
      <w:r w:rsidR="002D54D0">
        <w:rPr>
          <w:rFonts w:ascii="Verdana" w:hAnsi="Verdana"/>
        </w:rPr>
        <w:t>16,8</w:t>
      </w:r>
      <w:r w:rsidR="006E4EC8" w:rsidRPr="00A61430">
        <w:rPr>
          <w:rFonts w:ascii="Verdana" w:hAnsi="Verdana"/>
        </w:rPr>
        <w:t xml:space="preserve">% </w:t>
      </w:r>
      <w:r w:rsidR="00C20366" w:rsidRPr="00A61430">
        <w:rPr>
          <w:rFonts w:ascii="Verdana" w:hAnsi="Verdana"/>
        </w:rPr>
        <w:t xml:space="preserve">επί της </w:t>
      </w:r>
      <w:proofErr w:type="spellStart"/>
      <w:r w:rsidR="00C20366" w:rsidRPr="00A61430">
        <w:rPr>
          <w:rFonts w:ascii="Verdana" w:hAnsi="Verdana"/>
        </w:rPr>
        <w:t>αζερικής</w:t>
      </w:r>
      <w:proofErr w:type="spellEnd"/>
      <w:r w:rsidR="00C20366" w:rsidRPr="00A61430">
        <w:rPr>
          <w:rFonts w:ascii="Verdana" w:hAnsi="Verdana"/>
        </w:rPr>
        <w:t xml:space="preserve"> αγοράς (περ. </w:t>
      </w:r>
      <w:r w:rsidR="00AA4CAE">
        <w:rPr>
          <w:rFonts w:ascii="Verdana" w:hAnsi="Verdana"/>
        </w:rPr>
        <w:t>2,3</w:t>
      </w:r>
      <w:r w:rsidR="00C20366" w:rsidRPr="00A61430">
        <w:rPr>
          <w:rFonts w:ascii="Verdana" w:hAnsi="Verdana"/>
        </w:rPr>
        <w:t xml:space="preserve"> δις $), η </w:t>
      </w:r>
      <w:r w:rsidR="00C20366" w:rsidRPr="00A61430">
        <w:rPr>
          <w:rFonts w:ascii="Verdana" w:hAnsi="Verdana"/>
        </w:rPr>
        <w:lastRenderedPageBreak/>
        <w:t xml:space="preserve">«αδελφή» χώρα Τουρκία </w:t>
      </w:r>
      <w:r w:rsidR="00AA4CAE">
        <w:rPr>
          <w:rFonts w:ascii="Verdana" w:hAnsi="Verdana"/>
        </w:rPr>
        <w:t>12</w:t>
      </w:r>
      <w:r w:rsidR="00C20366" w:rsidRPr="00A61430">
        <w:rPr>
          <w:rFonts w:ascii="Verdana" w:hAnsi="Verdana"/>
        </w:rPr>
        <w:t xml:space="preserve"> % (περ. 1,</w:t>
      </w:r>
      <w:r w:rsidR="00EA1FB3">
        <w:rPr>
          <w:rFonts w:ascii="Verdana" w:hAnsi="Verdana"/>
        </w:rPr>
        <w:t>6</w:t>
      </w:r>
      <w:r w:rsidR="00C20366" w:rsidRPr="00A61430">
        <w:rPr>
          <w:rFonts w:ascii="Verdana" w:hAnsi="Verdana"/>
        </w:rPr>
        <w:t xml:space="preserve"> δις $)</w:t>
      </w:r>
      <w:r w:rsidR="00EA1FB3">
        <w:rPr>
          <w:rFonts w:ascii="Verdana" w:hAnsi="Verdana"/>
        </w:rPr>
        <w:t xml:space="preserve"> και </w:t>
      </w:r>
      <w:r w:rsidR="00C20366" w:rsidRPr="00A61430">
        <w:rPr>
          <w:rFonts w:ascii="Verdana" w:hAnsi="Verdana"/>
        </w:rPr>
        <w:t xml:space="preserve">η πάμφθηνη Κίνα </w:t>
      </w:r>
      <w:r w:rsidR="00AA4CAE">
        <w:rPr>
          <w:rFonts w:ascii="Verdana" w:hAnsi="Verdana"/>
        </w:rPr>
        <w:t>10,5</w:t>
      </w:r>
      <w:r w:rsidR="00C20366" w:rsidRPr="00A61430">
        <w:rPr>
          <w:rFonts w:ascii="Verdana" w:hAnsi="Verdana"/>
        </w:rPr>
        <w:t>% (</w:t>
      </w:r>
      <w:r w:rsidR="00AA4CAE">
        <w:rPr>
          <w:rFonts w:ascii="Verdana" w:hAnsi="Verdana"/>
        </w:rPr>
        <w:t>1,4</w:t>
      </w:r>
      <w:r w:rsidR="00EA1FB3">
        <w:rPr>
          <w:rFonts w:ascii="Verdana" w:hAnsi="Verdana"/>
        </w:rPr>
        <w:t xml:space="preserve"> δις</w:t>
      </w:r>
      <w:r w:rsidR="00C20366" w:rsidRPr="00A61430">
        <w:rPr>
          <w:rFonts w:ascii="Verdana" w:hAnsi="Verdana"/>
        </w:rPr>
        <w:t xml:space="preserve"> $)</w:t>
      </w:r>
      <w:r w:rsidR="00EA1FB3">
        <w:rPr>
          <w:rFonts w:ascii="Verdana" w:hAnsi="Verdana"/>
        </w:rPr>
        <w:t>.</w:t>
      </w:r>
      <w:r w:rsidR="00B20433" w:rsidRPr="00A61430">
        <w:rPr>
          <w:rFonts w:ascii="Verdana" w:hAnsi="Verdana"/>
        </w:rPr>
        <w:t xml:space="preserve"> </w:t>
      </w:r>
    </w:p>
    <w:p w:rsidR="00B20433" w:rsidRDefault="007B6D83" w:rsidP="00B20433">
      <w:pPr>
        <w:jc w:val="both"/>
        <w:rPr>
          <w:rFonts w:ascii="Verdana" w:hAnsi="Verdana"/>
        </w:rPr>
      </w:pPr>
      <w:r>
        <w:rPr>
          <w:rFonts w:ascii="Verdana" w:hAnsi="Verdana"/>
          <w:b/>
        </w:rPr>
        <w:t xml:space="preserve">Το </w:t>
      </w:r>
      <w:r w:rsidRPr="007B6D83">
        <w:rPr>
          <w:rFonts w:ascii="Verdana" w:hAnsi="Verdana"/>
          <w:b/>
        </w:rPr>
        <w:t>μερίδιο</w:t>
      </w:r>
      <w:r w:rsidR="00B20433" w:rsidRPr="007B6D83">
        <w:rPr>
          <w:rFonts w:ascii="Verdana" w:hAnsi="Verdana"/>
          <w:b/>
        </w:rPr>
        <w:t xml:space="preserve"> των 28 Κ-Μ </w:t>
      </w:r>
      <w:r>
        <w:rPr>
          <w:rFonts w:ascii="Verdana" w:hAnsi="Verdana"/>
          <w:b/>
        </w:rPr>
        <w:t xml:space="preserve">της </w:t>
      </w:r>
      <w:r w:rsidRPr="007B6D83">
        <w:rPr>
          <w:rFonts w:ascii="Verdana" w:hAnsi="Verdana"/>
          <w:b/>
        </w:rPr>
        <w:t xml:space="preserve">ΕΕ </w:t>
      </w:r>
      <w:r>
        <w:rPr>
          <w:rFonts w:ascii="Verdana" w:hAnsi="Verdana"/>
          <w:b/>
        </w:rPr>
        <w:t xml:space="preserve">είναι </w:t>
      </w:r>
      <w:r w:rsidR="00B20433" w:rsidRPr="007B6D83">
        <w:rPr>
          <w:rFonts w:ascii="Verdana" w:hAnsi="Verdana"/>
          <w:b/>
        </w:rPr>
        <w:t xml:space="preserve">μόλις </w:t>
      </w:r>
      <w:r>
        <w:rPr>
          <w:rFonts w:ascii="Verdana" w:hAnsi="Verdana"/>
          <w:b/>
        </w:rPr>
        <w:t xml:space="preserve">17,8% </w:t>
      </w:r>
      <w:r w:rsidR="00B20433" w:rsidRPr="007B6D83">
        <w:rPr>
          <w:rFonts w:ascii="Verdana" w:hAnsi="Verdana"/>
          <w:b/>
        </w:rPr>
        <w:t xml:space="preserve">επί των </w:t>
      </w:r>
      <w:proofErr w:type="spellStart"/>
      <w:r w:rsidR="00B20433" w:rsidRPr="007B6D83">
        <w:rPr>
          <w:rFonts w:ascii="Verdana" w:hAnsi="Verdana"/>
          <w:b/>
        </w:rPr>
        <w:t>αζερικών</w:t>
      </w:r>
      <w:proofErr w:type="spellEnd"/>
      <w:r w:rsidR="00B20433" w:rsidRPr="007B6D83">
        <w:rPr>
          <w:rFonts w:ascii="Verdana" w:hAnsi="Verdana"/>
          <w:b/>
        </w:rPr>
        <w:t xml:space="preserve"> εισαγωγών</w:t>
      </w:r>
      <w:r w:rsidR="00EE2A97">
        <w:rPr>
          <w:rFonts w:ascii="Verdana" w:hAnsi="Verdana"/>
        </w:rPr>
        <w:t xml:space="preserve">, </w:t>
      </w:r>
      <w:r>
        <w:rPr>
          <w:rFonts w:ascii="Verdana" w:hAnsi="Verdana"/>
        </w:rPr>
        <w:t xml:space="preserve">μειωθέν περαιτέρω σε σχέση με </w:t>
      </w:r>
      <w:r w:rsidR="005332F6" w:rsidRPr="007B6D83">
        <w:rPr>
          <w:rFonts w:ascii="Verdana" w:hAnsi="Verdana"/>
        </w:rPr>
        <w:t>το 2018</w:t>
      </w:r>
      <w:r>
        <w:rPr>
          <w:rFonts w:ascii="Verdana" w:hAnsi="Verdana"/>
        </w:rPr>
        <w:t xml:space="preserve"> όπου ήταν</w:t>
      </w:r>
      <w:r w:rsidRPr="007B6D83">
        <w:rPr>
          <w:rFonts w:ascii="Verdana" w:hAnsi="Verdana"/>
        </w:rPr>
        <w:t xml:space="preserve"> 20,3%</w:t>
      </w:r>
      <w:r w:rsidR="00B20433" w:rsidRPr="007B6D83">
        <w:rPr>
          <w:rFonts w:ascii="Verdana" w:hAnsi="Verdana"/>
        </w:rPr>
        <w:t>.</w:t>
      </w:r>
      <w:r w:rsidR="00B20433" w:rsidRPr="00A61430">
        <w:rPr>
          <w:rFonts w:ascii="Verdana" w:hAnsi="Verdana"/>
        </w:rPr>
        <w:t xml:space="preserve"> Πρόκειται </w:t>
      </w:r>
      <w:r w:rsidR="00EE2A97">
        <w:rPr>
          <w:rFonts w:ascii="Verdana" w:hAnsi="Verdana"/>
        </w:rPr>
        <w:t xml:space="preserve">προφανώς </w:t>
      </w:r>
      <w:r w:rsidR="00B20433" w:rsidRPr="00A61430">
        <w:rPr>
          <w:rFonts w:ascii="Verdana" w:hAnsi="Verdana"/>
        </w:rPr>
        <w:t xml:space="preserve">για μια ασύμμετρη </w:t>
      </w:r>
      <w:r w:rsidR="00EE2A97">
        <w:rPr>
          <w:rFonts w:ascii="Verdana" w:hAnsi="Verdana"/>
        </w:rPr>
        <w:t xml:space="preserve">εμπορική </w:t>
      </w:r>
      <w:r w:rsidR="00B20433" w:rsidRPr="00A61430">
        <w:rPr>
          <w:rFonts w:ascii="Verdana" w:hAnsi="Verdana"/>
        </w:rPr>
        <w:t xml:space="preserve">σχέση, </w:t>
      </w:r>
      <w:r w:rsidR="00EE2A97">
        <w:rPr>
          <w:rFonts w:ascii="Verdana" w:hAnsi="Verdana"/>
        </w:rPr>
        <w:t xml:space="preserve">αφού η </w:t>
      </w:r>
      <w:r w:rsidR="00B20433" w:rsidRPr="00A61430">
        <w:rPr>
          <w:rFonts w:ascii="Verdana" w:hAnsi="Verdana"/>
        </w:rPr>
        <w:t xml:space="preserve"> ΕΕ δέχεται </w:t>
      </w:r>
      <w:r w:rsidR="00EE2A97">
        <w:rPr>
          <w:rFonts w:ascii="Verdana" w:hAnsi="Verdana"/>
        </w:rPr>
        <w:t>το 53,5</w:t>
      </w:r>
      <w:r w:rsidR="005332F6">
        <w:rPr>
          <w:rFonts w:ascii="Verdana" w:hAnsi="Verdana"/>
        </w:rPr>
        <w:t xml:space="preserve">% των </w:t>
      </w:r>
      <w:proofErr w:type="spellStart"/>
      <w:r w:rsidR="005332F6">
        <w:rPr>
          <w:rFonts w:ascii="Verdana" w:hAnsi="Verdana"/>
        </w:rPr>
        <w:t>αζερικών</w:t>
      </w:r>
      <w:proofErr w:type="spellEnd"/>
      <w:r w:rsidR="005332F6">
        <w:rPr>
          <w:rFonts w:ascii="Verdana" w:hAnsi="Verdana"/>
        </w:rPr>
        <w:t xml:space="preserve"> εξαγωγών</w:t>
      </w:r>
      <w:r w:rsidR="00B20433" w:rsidRPr="00A61430">
        <w:rPr>
          <w:rFonts w:ascii="Verdana" w:hAnsi="Verdana"/>
        </w:rPr>
        <w:t xml:space="preserve"> </w:t>
      </w:r>
      <w:r w:rsidR="005332F6">
        <w:rPr>
          <w:rFonts w:ascii="Verdana" w:hAnsi="Verdana"/>
        </w:rPr>
        <w:t>(</w:t>
      </w:r>
      <w:r w:rsidR="00B20433" w:rsidRPr="00A61430">
        <w:rPr>
          <w:rFonts w:ascii="Verdana" w:hAnsi="Verdana"/>
          <w:i/>
          <w:iCs/>
        </w:rPr>
        <w:t>κατά βάση αργό πετρέλαιο</w:t>
      </w:r>
      <w:r w:rsidR="00B20433" w:rsidRPr="00A61430">
        <w:rPr>
          <w:rFonts w:ascii="Verdana" w:hAnsi="Verdana"/>
        </w:rPr>
        <w:t xml:space="preserve">) </w:t>
      </w:r>
      <w:r w:rsidR="005332F6">
        <w:rPr>
          <w:rFonts w:ascii="Verdana" w:hAnsi="Verdana"/>
        </w:rPr>
        <w:t>με αποτέλεσμα</w:t>
      </w:r>
      <w:r w:rsidR="00B20433" w:rsidRPr="00A61430">
        <w:rPr>
          <w:rFonts w:ascii="Verdana" w:hAnsi="Verdana"/>
        </w:rPr>
        <w:t xml:space="preserve"> το εμπορικό ισοζύγιο ΕΕ - ΑΖ είναι </w:t>
      </w:r>
      <w:r w:rsidR="00B20433" w:rsidRPr="00A61430">
        <w:rPr>
          <w:rFonts w:ascii="Verdana" w:hAnsi="Verdana"/>
          <w:b/>
          <w:bCs/>
        </w:rPr>
        <w:t>έντονα ελλειμματικό εις βάρος της ΕΕ</w:t>
      </w:r>
      <w:r w:rsidR="00B20433" w:rsidRPr="00A61430">
        <w:rPr>
          <w:rFonts w:ascii="Verdana" w:hAnsi="Verdana"/>
        </w:rPr>
        <w:t xml:space="preserve">. Γενικά, η διπλή υποτίμηση του 2015 και η συνακόλουθη (από το 2016) ύφεση οδήγησε σε εκτροπή εμπορίου από την ΕΕ προς φθηνότερους προμηθευτές, με αποτέλεσμα ακόμη και κραταιές χώρες της ΕΕ να δουν τις εξαγωγές τους να καταρρέουν. Ειδικά δε στα τρόφιμα, το Ιράν και η Ουκρανία αποτελούν δύο επιπλέον ελκυστικούς προμηθευτές μετά βέβαια από τις Ρωσία και Τουρκία, το μεν πρώτο στα νωπά (π.χ. φρούτα-λαχανικά), η δε δεύτερη στα τυποποιημένα (π.χ. γαλακτοκομικά) και στο αλεύρι. Ακόμη και ως προς τον οίνο, όπου οι εισαγωγές είναι μικρές, κύριος προμηθευτής -σε ποσότητα- είναι με διαφορά η Μολδαβία. Τέλος, η </w:t>
      </w:r>
      <w:r w:rsidR="005332F6">
        <w:rPr>
          <w:rFonts w:ascii="Verdana" w:hAnsi="Verdana"/>
        </w:rPr>
        <w:t xml:space="preserve">φημολογούμενη </w:t>
      </w:r>
      <w:r w:rsidR="00B20433" w:rsidRPr="00A61430">
        <w:rPr>
          <w:rFonts w:ascii="Verdana" w:hAnsi="Verdana"/>
        </w:rPr>
        <w:t xml:space="preserve">επικείμενη σύναψη </w:t>
      </w:r>
      <w:r w:rsidR="00B20433" w:rsidRPr="00A61430">
        <w:rPr>
          <w:rFonts w:ascii="Verdana" w:hAnsi="Verdana"/>
          <w:i/>
          <w:iCs/>
        </w:rPr>
        <w:t>«</w:t>
      </w:r>
      <w:proofErr w:type="spellStart"/>
      <w:r w:rsidR="00B20433" w:rsidRPr="00A61430">
        <w:rPr>
          <w:rFonts w:ascii="Verdana" w:hAnsi="Verdana"/>
          <w:i/>
          <w:iCs/>
        </w:rPr>
        <w:t>προτιμησιακής</w:t>
      </w:r>
      <w:proofErr w:type="spellEnd"/>
      <w:r w:rsidR="00B20433" w:rsidRPr="00A61430">
        <w:rPr>
          <w:rFonts w:ascii="Verdana" w:hAnsi="Verdana"/>
          <w:i/>
          <w:iCs/>
        </w:rPr>
        <w:t xml:space="preserve"> εμπορικής συμφωνίας»</w:t>
      </w:r>
      <w:r w:rsidR="00B20433" w:rsidRPr="00A61430">
        <w:rPr>
          <w:rFonts w:ascii="Verdana" w:hAnsi="Verdana"/>
        </w:rPr>
        <w:t xml:space="preserve"> (</w:t>
      </w:r>
      <w:proofErr w:type="spellStart"/>
      <w:r w:rsidR="00B20433" w:rsidRPr="00A61430">
        <w:rPr>
          <w:rFonts w:ascii="Verdana" w:hAnsi="Verdana"/>
        </w:rPr>
        <w:t>preferential</w:t>
      </w:r>
      <w:proofErr w:type="spellEnd"/>
      <w:r w:rsidR="00B20433" w:rsidRPr="00A61430">
        <w:rPr>
          <w:rFonts w:ascii="Verdana" w:hAnsi="Verdana"/>
        </w:rPr>
        <w:t xml:space="preserve"> </w:t>
      </w:r>
      <w:proofErr w:type="spellStart"/>
      <w:r w:rsidR="00B20433" w:rsidRPr="00A61430">
        <w:rPr>
          <w:rFonts w:ascii="Verdana" w:hAnsi="Verdana"/>
        </w:rPr>
        <w:t>trade</w:t>
      </w:r>
      <w:proofErr w:type="spellEnd"/>
      <w:r w:rsidR="00B20433" w:rsidRPr="00A61430">
        <w:rPr>
          <w:rFonts w:ascii="Verdana" w:hAnsi="Verdana"/>
        </w:rPr>
        <w:t xml:space="preserve"> </w:t>
      </w:r>
      <w:proofErr w:type="spellStart"/>
      <w:r w:rsidR="00B20433" w:rsidRPr="00A61430">
        <w:rPr>
          <w:rFonts w:ascii="Verdana" w:hAnsi="Verdana"/>
        </w:rPr>
        <w:t>agreement</w:t>
      </w:r>
      <w:proofErr w:type="spellEnd"/>
      <w:r w:rsidR="00B20433" w:rsidRPr="00A61430">
        <w:rPr>
          <w:rFonts w:ascii="Verdana" w:hAnsi="Verdana"/>
        </w:rPr>
        <w:t xml:space="preserve">) με την Τουρκία θα </w:t>
      </w:r>
      <w:r w:rsidR="007F4067">
        <w:rPr>
          <w:rFonts w:ascii="Verdana" w:hAnsi="Verdana"/>
        </w:rPr>
        <w:t>δυσχεράνει περαιτέρω την εμπορική διείσδυση</w:t>
      </w:r>
      <w:r w:rsidR="00B20433" w:rsidRPr="00A61430">
        <w:rPr>
          <w:rFonts w:ascii="Verdana" w:hAnsi="Verdana"/>
        </w:rPr>
        <w:t xml:space="preserve"> από την ΕΕ. </w:t>
      </w:r>
    </w:p>
    <w:p w:rsidR="005332F6" w:rsidRPr="00A61430" w:rsidRDefault="005332F6" w:rsidP="00B20433">
      <w:pPr>
        <w:jc w:val="both"/>
        <w:rPr>
          <w:rFonts w:ascii="Verdana" w:hAnsi="Verdana"/>
        </w:rPr>
      </w:pPr>
    </w:p>
    <w:tbl>
      <w:tblPr>
        <w:tblStyle w:val="a9"/>
        <w:tblW w:w="0" w:type="auto"/>
        <w:tblInd w:w="378" w:type="dxa"/>
        <w:tblLook w:val="04A0" w:firstRow="1" w:lastRow="0" w:firstColumn="1" w:lastColumn="0" w:noHBand="0" w:noVBand="1"/>
      </w:tblPr>
      <w:tblGrid>
        <w:gridCol w:w="8460"/>
      </w:tblGrid>
      <w:tr w:rsidR="003B4E55" w:rsidTr="00EA1FB3">
        <w:tc>
          <w:tcPr>
            <w:tcW w:w="8460" w:type="dxa"/>
            <w:shd w:val="clear" w:color="auto" w:fill="DDD9C3" w:themeFill="background2" w:themeFillShade="E6"/>
          </w:tcPr>
          <w:p w:rsidR="003B4E55" w:rsidRDefault="003B4E55" w:rsidP="003B4E55">
            <w:pPr>
              <w:jc w:val="center"/>
              <w:rPr>
                <w:rFonts w:ascii="Verdana" w:hAnsi="Verdana"/>
              </w:rPr>
            </w:pPr>
            <w:r w:rsidRPr="00A61430">
              <w:rPr>
                <w:rFonts w:ascii="Verdana" w:hAnsi="Verdana"/>
                <w:b/>
                <w:bCs/>
              </w:rPr>
              <w:t xml:space="preserve">ΚΥΡΙΟΙ ΠΡΟΜΗΘΕΥΤΕΣ ΤΗΣ ΧΩΡΑΣ </w:t>
            </w:r>
            <w:r>
              <w:rPr>
                <w:rFonts w:ascii="Verdana" w:hAnsi="Verdana"/>
                <w:b/>
                <w:bCs/>
              </w:rPr>
              <w:t xml:space="preserve">ΤΟ </w:t>
            </w:r>
            <w:r w:rsidRPr="00A61430">
              <w:rPr>
                <w:rFonts w:ascii="Verdana" w:hAnsi="Verdana"/>
                <w:b/>
                <w:bCs/>
              </w:rPr>
              <w:t>201</w:t>
            </w:r>
            <w:r w:rsidR="005E44D9">
              <w:rPr>
                <w:rFonts w:ascii="Verdana" w:hAnsi="Verdana"/>
                <w:b/>
                <w:bCs/>
              </w:rPr>
              <w:t>9</w:t>
            </w:r>
          </w:p>
        </w:tc>
      </w:tr>
    </w:tbl>
    <w:p w:rsidR="003B4E55" w:rsidRDefault="003B4E55" w:rsidP="00A61430">
      <w:pPr>
        <w:jc w:val="both"/>
        <w:rPr>
          <w:rFonts w:ascii="Verdana" w:hAnsi="Verdan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0A0" w:firstRow="1" w:lastRow="0" w:firstColumn="1" w:lastColumn="0" w:noHBand="0" w:noVBand="0"/>
      </w:tblPr>
      <w:tblGrid>
        <w:gridCol w:w="4140"/>
        <w:gridCol w:w="2430"/>
        <w:gridCol w:w="2610"/>
      </w:tblGrid>
      <w:tr w:rsidR="003B4E55" w:rsidRPr="00A61430" w:rsidTr="00EA1FB3">
        <w:tc>
          <w:tcPr>
            <w:tcW w:w="4140" w:type="dxa"/>
            <w:shd w:val="clear" w:color="auto" w:fill="DDD9C3" w:themeFill="background2" w:themeFillShade="E6"/>
          </w:tcPr>
          <w:p w:rsidR="003B4E55" w:rsidRPr="003B4E55" w:rsidRDefault="003B4E55" w:rsidP="006E4EC8">
            <w:pPr>
              <w:jc w:val="both"/>
              <w:rPr>
                <w:rFonts w:ascii="Verdana" w:hAnsi="Verdana"/>
                <w:b/>
              </w:rPr>
            </w:pPr>
            <w:r w:rsidRPr="003B4E55">
              <w:rPr>
                <w:rFonts w:ascii="Verdana" w:hAnsi="Verdana"/>
                <w:b/>
              </w:rPr>
              <w:t>Προμηθευτής</w:t>
            </w:r>
          </w:p>
        </w:tc>
        <w:tc>
          <w:tcPr>
            <w:tcW w:w="2430" w:type="dxa"/>
            <w:shd w:val="clear" w:color="auto" w:fill="DDD9C3" w:themeFill="background2" w:themeFillShade="E6"/>
          </w:tcPr>
          <w:p w:rsidR="003B4E55" w:rsidRPr="003B4E55" w:rsidRDefault="003B4E55" w:rsidP="006E4EC8">
            <w:pPr>
              <w:jc w:val="both"/>
              <w:rPr>
                <w:rFonts w:ascii="Verdana" w:hAnsi="Verdana"/>
                <w:b/>
              </w:rPr>
            </w:pPr>
            <w:r w:rsidRPr="003B4E55">
              <w:rPr>
                <w:rFonts w:ascii="Verdana" w:hAnsi="Verdana"/>
                <w:b/>
              </w:rPr>
              <w:t xml:space="preserve">000 </w:t>
            </w:r>
            <w:r w:rsidRPr="003B4E55">
              <w:rPr>
                <w:rFonts w:ascii="Verdana" w:hAnsi="Verdana"/>
                <w:b/>
                <w:lang w:val="en-US"/>
              </w:rPr>
              <w:t xml:space="preserve">US </w:t>
            </w:r>
            <w:r w:rsidRPr="003B4E55">
              <w:rPr>
                <w:rFonts w:ascii="Verdana" w:hAnsi="Verdana"/>
                <w:b/>
              </w:rPr>
              <w:t>$</w:t>
            </w:r>
          </w:p>
        </w:tc>
        <w:tc>
          <w:tcPr>
            <w:tcW w:w="2610" w:type="dxa"/>
            <w:shd w:val="clear" w:color="auto" w:fill="DDD9C3" w:themeFill="background2" w:themeFillShade="E6"/>
          </w:tcPr>
          <w:p w:rsidR="003B4E55" w:rsidRPr="003B4E55" w:rsidRDefault="003B4E55" w:rsidP="006E4EC8">
            <w:pPr>
              <w:jc w:val="both"/>
              <w:rPr>
                <w:rFonts w:ascii="Verdana" w:hAnsi="Verdana"/>
                <w:b/>
              </w:rPr>
            </w:pPr>
            <w:r w:rsidRPr="003B4E55">
              <w:rPr>
                <w:rFonts w:ascii="Verdana" w:hAnsi="Verdana"/>
                <w:b/>
              </w:rPr>
              <w:t>% επί του συνόλου</w:t>
            </w:r>
          </w:p>
        </w:tc>
      </w:tr>
      <w:tr w:rsidR="003B4E55" w:rsidRPr="00A61430" w:rsidTr="00EA1FB3">
        <w:tc>
          <w:tcPr>
            <w:tcW w:w="4140" w:type="dxa"/>
            <w:shd w:val="clear" w:color="auto" w:fill="DDD9C3" w:themeFill="background2" w:themeFillShade="E6"/>
          </w:tcPr>
          <w:p w:rsidR="003B4E55" w:rsidRPr="00A61430" w:rsidRDefault="003B4E55" w:rsidP="006E4EC8">
            <w:pPr>
              <w:jc w:val="both"/>
              <w:rPr>
                <w:rFonts w:ascii="Verdana" w:hAnsi="Verdana"/>
              </w:rPr>
            </w:pPr>
            <w:r w:rsidRPr="00A61430">
              <w:rPr>
                <w:rFonts w:ascii="Verdana" w:hAnsi="Verdana"/>
              </w:rPr>
              <w:t>Ρωσία</w:t>
            </w:r>
          </w:p>
        </w:tc>
        <w:tc>
          <w:tcPr>
            <w:tcW w:w="2430" w:type="dxa"/>
            <w:shd w:val="clear" w:color="auto" w:fill="DDD9C3" w:themeFill="background2" w:themeFillShade="E6"/>
          </w:tcPr>
          <w:p w:rsidR="003B4E55" w:rsidRPr="00A61430" w:rsidRDefault="000723E5" w:rsidP="004F5D23">
            <w:pPr>
              <w:jc w:val="center"/>
              <w:rPr>
                <w:rFonts w:ascii="Verdana" w:hAnsi="Verdana"/>
              </w:rPr>
            </w:pPr>
            <w:r>
              <w:rPr>
                <w:rFonts w:ascii="Verdana" w:hAnsi="Verdana"/>
              </w:rPr>
              <w:t>2.290.219</w:t>
            </w:r>
          </w:p>
        </w:tc>
        <w:tc>
          <w:tcPr>
            <w:tcW w:w="2610" w:type="dxa"/>
            <w:shd w:val="clear" w:color="auto" w:fill="DDD9C3" w:themeFill="background2" w:themeFillShade="E6"/>
          </w:tcPr>
          <w:p w:rsidR="003B4E55" w:rsidRPr="00A61430" w:rsidRDefault="002D54D0" w:rsidP="004F5D23">
            <w:pPr>
              <w:jc w:val="center"/>
              <w:rPr>
                <w:rFonts w:ascii="Verdana" w:hAnsi="Verdana"/>
              </w:rPr>
            </w:pPr>
            <w:r>
              <w:rPr>
                <w:rFonts w:ascii="Verdana" w:hAnsi="Verdana"/>
              </w:rPr>
              <w:t>16,8</w:t>
            </w:r>
            <w:r w:rsidR="004F5D23">
              <w:rPr>
                <w:rFonts w:ascii="Verdana" w:hAnsi="Verdana"/>
              </w:rPr>
              <w:t>%</w:t>
            </w:r>
          </w:p>
        </w:tc>
      </w:tr>
      <w:tr w:rsidR="003B4E55" w:rsidRPr="00A61430" w:rsidTr="00EA1FB3">
        <w:tc>
          <w:tcPr>
            <w:tcW w:w="4140" w:type="dxa"/>
            <w:shd w:val="clear" w:color="auto" w:fill="DDD9C3" w:themeFill="background2" w:themeFillShade="E6"/>
          </w:tcPr>
          <w:p w:rsidR="003B4E55" w:rsidRPr="00A61430" w:rsidRDefault="003B4E55" w:rsidP="006E4EC8">
            <w:pPr>
              <w:jc w:val="both"/>
              <w:rPr>
                <w:rFonts w:ascii="Verdana" w:hAnsi="Verdana"/>
              </w:rPr>
            </w:pPr>
            <w:r w:rsidRPr="00A61430">
              <w:rPr>
                <w:rFonts w:ascii="Verdana" w:hAnsi="Verdana"/>
              </w:rPr>
              <w:t>Τουρκία</w:t>
            </w:r>
          </w:p>
        </w:tc>
        <w:tc>
          <w:tcPr>
            <w:tcW w:w="2430" w:type="dxa"/>
            <w:shd w:val="clear" w:color="auto" w:fill="DDD9C3" w:themeFill="background2" w:themeFillShade="E6"/>
          </w:tcPr>
          <w:p w:rsidR="003B4E55" w:rsidRPr="00A61430" w:rsidRDefault="000723E5" w:rsidP="004F5D23">
            <w:pPr>
              <w:jc w:val="center"/>
              <w:rPr>
                <w:rFonts w:ascii="Verdana" w:hAnsi="Verdana"/>
              </w:rPr>
            </w:pPr>
            <w:r>
              <w:rPr>
                <w:rFonts w:ascii="Verdana" w:hAnsi="Verdana"/>
              </w:rPr>
              <w:t>1.646.801</w:t>
            </w:r>
          </w:p>
        </w:tc>
        <w:tc>
          <w:tcPr>
            <w:tcW w:w="2610" w:type="dxa"/>
            <w:shd w:val="clear" w:color="auto" w:fill="DDD9C3" w:themeFill="background2" w:themeFillShade="E6"/>
          </w:tcPr>
          <w:p w:rsidR="003B4E55" w:rsidRPr="00A61430" w:rsidRDefault="002D54D0" w:rsidP="004F5D23">
            <w:pPr>
              <w:jc w:val="center"/>
              <w:rPr>
                <w:rFonts w:ascii="Verdana" w:hAnsi="Verdana"/>
              </w:rPr>
            </w:pPr>
            <w:r>
              <w:rPr>
                <w:rFonts w:ascii="Verdana" w:hAnsi="Verdana"/>
              </w:rPr>
              <w:t>12,0</w:t>
            </w:r>
            <w:r w:rsidR="004F5D23">
              <w:rPr>
                <w:rFonts w:ascii="Verdana" w:hAnsi="Verdana"/>
              </w:rPr>
              <w:t>%</w:t>
            </w:r>
          </w:p>
        </w:tc>
      </w:tr>
      <w:tr w:rsidR="003B4E55" w:rsidRPr="00A61430" w:rsidTr="00EA1FB3">
        <w:tc>
          <w:tcPr>
            <w:tcW w:w="4140" w:type="dxa"/>
            <w:shd w:val="clear" w:color="auto" w:fill="DDD9C3" w:themeFill="background2" w:themeFillShade="E6"/>
          </w:tcPr>
          <w:p w:rsidR="003B4E55" w:rsidRPr="00A61430" w:rsidRDefault="003B4E55" w:rsidP="006E4EC8">
            <w:pPr>
              <w:jc w:val="both"/>
              <w:rPr>
                <w:rFonts w:ascii="Verdana" w:hAnsi="Verdana"/>
              </w:rPr>
            </w:pPr>
            <w:r w:rsidRPr="00A61430">
              <w:rPr>
                <w:rFonts w:ascii="Verdana" w:hAnsi="Verdana"/>
              </w:rPr>
              <w:t>Κίνα</w:t>
            </w:r>
          </w:p>
        </w:tc>
        <w:tc>
          <w:tcPr>
            <w:tcW w:w="2430" w:type="dxa"/>
            <w:shd w:val="clear" w:color="auto" w:fill="DDD9C3" w:themeFill="background2" w:themeFillShade="E6"/>
          </w:tcPr>
          <w:p w:rsidR="003B4E55" w:rsidRPr="00A61430" w:rsidRDefault="000723E5" w:rsidP="004F5D23">
            <w:pPr>
              <w:jc w:val="center"/>
              <w:rPr>
                <w:rFonts w:ascii="Verdana" w:hAnsi="Verdana"/>
              </w:rPr>
            </w:pPr>
            <w:r>
              <w:rPr>
                <w:rFonts w:ascii="Verdana" w:hAnsi="Verdana"/>
              </w:rPr>
              <w:t>1.432.031</w:t>
            </w:r>
          </w:p>
        </w:tc>
        <w:tc>
          <w:tcPr>
            <w:tcW w:w="2610" w:type="dxa"/>
            <w:shd w:val="clear" w:color="auto" w:fill="DDD9C3" w:themeFill="background2" w:themeFillShade="E6"/>
          </w:tcPr>
          <w:p w:rsidR="003B4E55" w:rsidRPr="00A61430" w:rsidRDefault="002D54D0" w:rsidP="004F5D23">
            <w:pPr>
              <w:jc w:val="center"/>
              <w:rPr>
                <w:rFonts w:ascii="Verdana" w:hAnsi="Verdana"/>
              </w:rPr>
            </w:pPr>
            <w:r>
              <w:rPr>
                <w:rFonts w:ascii="Verdana" w:hAnsi="Verdana"/>
              </w:rPr>
              <w:t>10,5</w:t>
            </w:r>
            <w:r w:rsidR="004F5D23">
              <w:rPr>
                <w:rFonts w:ascii="Verdana" w:hAnsi="Verdana"/>
              </w:rPr>
              <w:t>%</w:t>
            </w:r>
          </w:p>
        </w:tc>
      </w:tr>
      <w:tr w:rsidR="002D54D0" w:rsidRPr="00A61430" w:rsidTr="00EA1FB3">
        <w:tc>
          <w:tcPr>
            <w:tcW w:w="4140" w:type="dxa"/>
            <w:shd w:val="clear" w:color="auto" w:fill="DDD9C3" w:themeFill="background2" w:themeFillShade="E6"/>
          </w:tcPr>
          <w:p w:rsidR="002D54D0" w:rsidRPr="00A61430" w:rsidRDefault="002D54D0" w:rsidP="00744A60">
            <w:pPr>
              <w:jc w:val="both"/>
              <w:rPr>
                <w:rFonts w:ascii="Verdana" w:hAnsi="Verdana"/>
              </w:rPr>
            </w:pPr>
            <w:r>
              <w:rPr>
                <w:rFonts w:ascii="Verdana" w:hAnsi="Verdana"/>
              </w:rPr>
              <w:t>Ελβετία</w:t>
            </w:r>
          </w:p>
        </w:tc>
        <w:tc>
          <w:tcPr>
            <w:tcW w:w="2430" w:type="dxa"/>
            <w:shd w:val="clear" w:color="auto" w:fill="DDD9C3" w:themeFill="background2" w:themeFillShade="E6"/>
          </w:tcPr>
          <w:p w:rsidR="002D54D0" w:rsidRPr="00A61430" w:rsidRDefault="000723E5" w:rsidP="00744A60">
            <w:pPr>
              <w:jc w:val="center"/>
              <w:rPr>
                <w:rFonts w:ascii="Verdana" w:hAnsi="Verdana"/>
              </w:rPr>
            </w:pPr>
            <w:r>
              <w:rPr>
                <w:rFonts w:ascii="Verdana" w:hAnsi="Verdana"/>
              </w:rPr>
              <w:t>1.223.277</w:t>
            </w:r>
          </w:p>
        </w:tc>
        <w:tc>
          <w:tcPr>
            <w:tcW w:w="2610" w:type="dxa"/>
            <w:shd w:val="clear" w:color="auto" w:fill="DDD9C3" w:themeFill="background2" w:themeFillShade="E6"/>
          </w:tcPr>
          <w:p w:rsidR="002D54D0" w:rsidRPr="00A61430" w:rsidRDefault="002D54D0" w:rsidP="00744A60">
            <w:pPr>
              <w:jc w:val="center"/>
              <w:rPr>
                <w:rFonts w:ascii="Verdana" w:hAnsi="Verdana"/>
              </w:rPr>
            </w:pPr>
            <w:r>
              <w:rPr>
                <w:rFonts w:ascii="Verdana" w:hAnsi="Verdana"/>
              </w:rPr>
              <w:t>9,0%</w:t>
            </w:r>
          </w:p>
        </w:tc>
      </w:tr>
      <w:tr w:rsidR="002D54D0" w:rsidRPr="00A61430" w:rsidTr="00EA1FB3">
        <w:tc>
          <w:tcPr>
            <w:tcW w:w="4140" w:type="dxa"/>
            <w:shd w:val="clear" w:color="auto" w:fill="DDD9C3" w:themeFill="background2" w:themeFillShade="E6"/>
          </w:tcPr>
          <w:p w:rsidR="002D54D0" w:rsidRPr="00A61430" w:rsidRDefault="002D54D0" w:rsidP="00744A60">
            <w:pPr>
              <w:jc w:val="both"/>
              <w:rPr>
                <w:rFonts w:ascii="Verdana" w:hAnsi="Verdana"/>
              </w:rPr>
            </w:pPr>
            <w:r w:rsidRPr="00A61430">
              <w:rPr>
                <w:rFonts w:ascii="Verdana" w:hAnsi="Verdana"/>
              </w:rPr>
              <w:t>ΗΠΑ</w:t>
            </w:r>
          </w:p>
        </w:tc>
        <w:tc>
          <w:tcPr>
            <w:tcW w:w="2430" w:type="dxa"/>
            <w:shd w:val="clear" w:color="auto" w:fill="DDD9C3" w:themeFill="background2" w:themeFillShade="E6"/>
          </w:tcPr>
          <w:p w:rsidR="002D54D0" w:rsidRPr="00A61430" w:rsidRDefault="000723E5" w:rsidP="00744A60">
            <w:pPr>
              <w:jc w:val="center"/>
              <w:rPr>
                <w:rFonts w:ascii="Verdana" w:hAnsi="Verdana"/>
              </w:rPr>
            </w:pPr>
            <w:r>
              <w:rPr>
                <w:rFonts w:ascii="Verdana" w:hAnsi="Verdana"/>
              </w:rPr>
              <w:t>767.758</w:t>
            </w:r>
          </w:p>
        </w:tc>
        <w:tc>
          <w:tcPr>
            <w:tcW w:w="2610" w:type="dxa"/>
            <w:shd w:val="clear" w:color="auto" w:fill="DDD9C3" w:themeFill="background2" w:themeFillShade="E6"/>
          </w:tcPr>
          <w:p w:rsidR="002D54D0" w:rsidRPr="00A61430" w:rsidRDefault="002D54D0" w:rsidP="00744A60">
            <w:pPr>
              <w:jc w:val="center"/>
              <w:rPr>
                <w:rFonts w:ascii="Verdana" w:hAnsi="Verdana"/>
              </w:rPr>
            </w:pPr>
            <w:r>
              <w:rPr>
                <w:rFonts w:ascii="Verdana" w:hAnsi="Verdana"/>
              </w:rPr>
              <w:t>5,6%</w:t>
            </w:r>
          </w:p>
        </w:tc>
      </w:tr>
      <w:tr w:rsidR="002D54D0" w:rsidRPr="00A61430" w:rsidTr="00EA1FB3">
        <w:tc>
          <w:tcPr>
            <w:tcW w:w="4140" w:type="dxa"/>
            <w:shd w:val="clear" w:color="auto" w:fill="DDD9C3" w:themeFill="background2" w:themeFillShade="E6"/>
          </w:tcPr>
          <w:p w:rsidR="002D54D0" w:rsidRPr="00A61430" w:rsidRDefault="002D54D0" w:rsidP="00744A60">
            <w:pPr>
              <w:jc w:val="both"/>
              <w:rPr>
                <w:rFonts w:ascii="Verdana" w:hAnsi="Verdana"/>
              </w:rPr>
            </w:pPr>
            <w:r w:rsidRPr="00A61430">
              <w:rPr>
                <w:rFonts w:ascii="Verdana" w:hAnsi="Verdana"/>
              </w:rPr>
              <w:t>Γερμανία</w:t>
            </w:r>
          </w:p>
        </w:tc>
        <w:tc>
          <w:tcPr>
            <w:tcW w:w="2430" w:type="dxa"/>
            <w:shd w:val="clear" w:color="auto" w:fill="DDD9C3" w:themeFill="background2" w:themeFillShade="E6"/>
          </w:tcPr>
          <w:p w:rsidR="002D54D0" w:rsidRDefault="000723E5" w:rsidP="00744A60">
            <w:pPr>
              <w:jc w:val="center"/>
              <w:rPr>
                <w:rFonts w:ascii="Verdana" w:hAnsi="Verdana"/>
              </w:rPr>
            </w:pPr>
            <w:r>
              <w:rPr>
                <w:rFonts w:ascii="Verdana" w:hAnsi="Verdana"/>
              </w:rPr>
              <w:t>710.368</w:t>
            </w:r>
          </w:p>
        </w:tc>
        <w:tc>
          <w:tcPr>
            <w:tcW w:w="2610" w:type="dxa"/>
            <w:shd w:val="clear" w:color="auto" w:fill="DDD9C3" w:themeFill="background2" w:themeFillShade="E6"/>
          </w:tcPr>
          <w:p w:rsidR="002D54D0" w:rsidRDefault="002D54D0" w:rsidP="00744A60">
            <w:pPr>
              <w:jc w:val="center"/>
              <w:rPr>
                <w:rFonts w:ascii="Verdana" w:hAnsi="Verdana"/>
              </w:rPr>
            </w:pPr>
            <w:r>
              <w:rPr>
                <w:rFonts w:ascii="Verdana" w:hAnsi="Verdana"/>
              </w:rPr>
              <w:t>5,2%</w:t>
            </w:r>
          </w:p>
        </w:tc>
      </w:tr>
      <w:tr w:rsidR="002D54D0" w:rsidRPr="00A61430" w:rsidTr="00EA1FB3">
        <w:tc>
          <w:tcPr>
            <w:tcW w:w="4140" w:type="dxa"/>
            <w:shd w:val="clear" w:color="auto" w:fill="DDD9C3" w:themeFill="background2" w:themeFillShade="E6"/>
          </w:tcPr>
          <w:p w:rsidR="002D54D0" w:rsidRPr="00A61430" w:rsidRDefault="002D54D0" w:rsidP="006E4EC8">
            <w:pPr>
              <w:jc w:val="both"/>
              <w:rPr>
                <w:rFonts w:ascii="Verdana" w:hAnsi="Verdana"/>
              </w:rPr>
            </w:pPr>
            <w:r w:rsidRPr="00A61430">
              <w:rPr>
                <w:rFonts w:ascii="Verdana" w:hAnsi="Verdana"/>
              </w:rPr>
              <w:t>Ουκρανία</w:t>
            </w:r>
          </w:p>
        </w:tc>
        <w:tc>
          <w:tcPr>
            <w:tcW w:w="2430" w:type="dxa"/>
            <w:shd w:val="clear" w:color="auto" w:fill="DDD9C3" w:themeFill="background2" w:themeFillShade="E6"/>
          </w:tcPr>
          <w:p w:rsidR="002D54D0" w:rsidRPr="00A61430" w:rsidRDefault="000723E5" w:rsidP="004F5D23">
            <w:pPr>
              <w:jc w:val="center"/>
              <w:rPr>
                <w:rFonts w:ascii="Verdana" w:hAnsi="Verdana"/>
              </w:rPr>
            </w:pPr>
            <w:r>
              <w:rPr>
                <w:rFonts w:ascii="Verdana" w:hAnsi="Verdana"/>
              </w:rPr>
              <w:t>476.023</w:t>
            </w:r>
          </w:p>
        </w:tc>
        <w:tc>
          <w:tcPr>
            <w:tcW w:w="2610" w:type="dxa"/>
            <w:shd w:val="clear" w:color="auto" w:fill="DDD9C3" w:themeFill="background2" w:themeFillShade="E6"/>
          </w:tcPr>
          <w:p w:rsidR="002D54D0" w:rsidRPr="00A61430" w:rsidRDefault="002D54D0" w:rsidP="004F5D23">
            <w:pPr>
              <w:jc w:val="center"/>
              <w:rPr>
                <w:rFonts w:ascii="Verdana" w:hAnsi="Verdana"/>
              </w:rPr>
            </w:pPr>
            <w:r>
              <w:rPr>
                <w:rFonts w:ascii="Verdana" w:hAnsi="Verdana"/>
              </w:rPr>
              <w:t>3,4%</w:t>
            </w:r>
          </w:p>
        </w:tc>
      </w:tr>
      <w:tr w:rsidR="002D54D0" w:rsidRPr="00A61430" w:rsidTr="00EA1FB3">
        <w:tc>
          <w:tcPr>
            <w:tcW w:w="4140" w:type="dxa"/>
            <w:shd w:val="clear" w:color="auto" w:fill="DDD9C3" w:themeFill="background2" w:themeFillShade="E6"/>
          </w:tcPr>
          <w:p w:rsidR="002D54D0" w:rsidRPr="00A61430" w:rsidRDefault="002D54D0" w:rsidP="006E4EC8">
            <w:pPr>
              <w:jc w:val="both"/>
              <w:rPr>
                <w:rFonts w:ascii="Verdana" w:hAnsi="Verdana"/>
              </w:rPr>
            </w:pPr>
            <w:r w:rsidRPr="00A61430">
              <w:rPr>
                <w:rFonts w:ascii="Verdana" w:hAnsi="Verdana"/>
              </w:rPr>
              <w:t>Ιράν</w:t>
            </w:r>
          </w:p>
        </w:tc>
        <w:tc>
          <w:tcPr>
            <w:tcW w:w="2430" w:type="dxa"/>
            <w:shd w:val="clear" w:color="auto" w:fill="DDD9C3" w:themeFill="background2" w:themeFillShade="E6"/>
          </w:tcPr>
          <w:p w:rsidR="002D54D0" w:rsidRPr="00A61430" w:rsidRDefault="000723E5" w:rsidP="004F5D23">
            <w:pPr>
              <w:jc w:val="center"/>
              <w:rPr>
                <w:rFonts w:ascii="Verdana" w:hAnsi="Verdana"/>
              </w:rPr>
            </w:pPr>
            <w:r>
              <w:rPr>
                <w:rFonts w:ascii="Verdana" w:hAnsi="Verdana"/>
              </w:rPr>
              <w:t>452.701</w:t>
            </w:r>
          </w:p>
        </w:tc>
        <w:tc>
          <w:tcPr>
            <w:tcW w:w="2610" w:type="dxa"/>
            <w:shd w:val="clear" w:color="auto" w:fill="DDD9C3" w:themeFill="background2" w:themeFillShade="E6"/>
          </w:tcPr>
          <w:p w:rsidR="002D54D0" w:rsidRPr="00A61430" w:rsidRDefault="002D54D0" w:rsidP="002D54D0">
            <w:pPr>
              <w:jc w:val="center"/>
              <w:rPr>
                <w:rFonts w:ascii="Verdana" w:hAnsi="Verdana"/>
              </w:rPr>
            </w:pPr>
            <w:r>
              <w:rPr>
                <w:rFonts w:ascii="Verdana" w:hAnsi="Verdana"/>
              </w:rPr>
              <w:t>3,3%</w:t>
            </w:r>
          </w:p>
        </w:tc>
      </w:tr>
      <w:tr w:rsidR="002D54D0" w:rsidRPr="00A61430" w:rsidTr="00EA1FB3">
        <w:tc>
          <w:tcPr>
            <w:tcW w:w="4140" w:type="dxa"/>
            <w:shd w:val="clear" w:color="auto" w:fill="DDD9C3" w:themeFill="background2" w:themeFillShade="E6"/>
          </w:tcPr>
          <w:p w:rsidR="002D54D0" w:rsidRPr="00A61430" w:rsidRDefault="002D54D0" w:rsidP="006E4EC8">
            <w:pPr>
              <w:jc w:val="both"/>
              <w:rPr>
                <w:rFonts w:ascii="Verdana" w:hAnsi="Verdana"/>
              </w:rPr>
            </w:pPr>
            <w:r>
              <w:rPr>
                <w:rFonts w:ascii="Verdana" w:hAnsi="Verdana"/>
              </w:rPr>
              <w:t xml:space="preserve">Καναδάς </w:t>
            </w:r>
          </w:p>
        </w:tc>
        <w:tc>
          <w:tcPr>
            <w:tcW w:w="2430" w:type="dxa"/>
            <w:shd w:val="clear" w:color="auto" w:fill="DDD9C3" w:themeFill="background2" w:themeFillShade="E6"/>
          </w:tcPr>
          <w:p w:rsidR="002D54D0" w:rsidRPr="00A61430" w:rsidRDefault="000723E5" w:rsidP="004F5D23">
            <w:pPr>
              <w:jc w:val="center"/>
              <w:rPr>
                <w:rFonts w:ascii="Verdana" w:hAnsi="Verdana"/>
              </w:rPr>
            </w:pPr>
            <w:r>
              <w:rPr>
                <w:rFonts w:ascii="Verdana" w:hAnsi="Verdana"/>
              </w:rPr>
              <w:t>398.161</w:t>
            </w:r>
          </w:p>
        </w:tc>
        <w:tc>
          <w:tcPr>
            <w:tcW w:w="2610" w:type="dxa"/>
            <w:shd w:val="clear" w:color="auto" w:fill="DDD9C3" w:themeFill="background2" w:themeFillShade="E6"/>
          </w:tcPr>
          <w:p w:rsidR="002D54D0" w:rsidRPr="00A61430" w:rsidRDefault="002D54D0" w:rsidP="004F5D23">
            <w:pPr>
              <w:jc w:val="center"/>
              <w:rPr>
                <w:rFonts w:ascii="Verdana" w:hAnsi="Verdana"/>
              </w:rPr>
            </w:pPr>
            <w:r>
              <w:rPr>
                <w:rFonts w:ascii="Verdana" w:hAnsi="Verdana"/>
              </w:rPr>
              <w:t>2,9%</w:t>
            </w:r>
          </w:p>
        </w:tc>
      </w:tr>
      <w:tr w:rsidR="002D54D0" w:rsidRPr="00A61430" w:rsidTr="00EA1FB3">
        <w:tc>
          <w:tcPr>
            <w:tcW w:w="4140" w:type="dxa"/>
            <w:shd w:val="clear" w:color="auto" w:fill="DDD9C3" w:themeFill="background2" w:themeFillShade="E6"/>
          </w:tcPr>
          <w:p w:rsidR="002D54D0" w:rsidRPr="00A61430" w:rsidRDefault="002D54D0" w:rsidP="006E4EC8">
            <w:pPr>
              <w:jc w:val="both"/>
              <w:rPr>
                <w:rFonts w:ascii="Verdana" w:hAnsi="Verdana"/>
              </w:rPr>
            </w:pPr>
            <w:r w:rsidRPr="00A61430">
              <w:rPr>
                <w:rFonts w:ascii="Verdana" w:hAnsi="Verdana"/>
              </w:rPr>
              <w:t>Ιταλία</w:t>
            </w:r>
          </w:p>
        </w:tc>
        <w:tc>
          <w:tcPr>
            <w:tcW w:w="2430" w:type="dxa"/>
            <w:shd w:val="clear" w:color="auto" w:fill="DDD9C3" w:themeFill="background2" w:themeFillShade="E6"/>
          </w:tcPr>
          <w:p w:rsidR="002D54D0" w:rsidRPr="00A61430" w:rsidRDefault="000723E5" w:rsidP="004F5D23">
            <w:pPr>
              <w:jc w:val="center"/>
              <w:rPr>
                <w:rFonts w:ascii="Verdana" w:hAnsi="Verdana"/>
              </w:rPr>
            </w:pPr>
            <w:r>
              <w:rPr>
                <w:rFonts w:ascii="Verdana" w:hAnsi="Verdana"/>
              </w:rPr>
              <w:t>369.897</w:t>
            </w:r>
          </w:p>
        </w:tc>
        <w:tc>
          <w:tcPr>
            <w:tcW w:w="2610" w:type="dxa"/>
            <w:shd w:val="clear" w:color="auto" w:fill="DDD9C3" w:themeFill="background2" w:themeFillShade="E6"/>
          </w:tcPr>
          <w:p w:rsidR="002D54D0" w:rsidRPr="00A61430" w:rsidRDefault="002D54D0" w:rsidP="004F5D23">
            <w:pPr>
              <w:jc w:val="center"/>
              <w:rPr>
                <w:rFonts w:ascii="Verdana" w:hAnsi="Verdana"/>
              </w:rPr>
            </w:pPr>
            <w:r>
              <w:rPr>
                <w:rFonts w:ascii="Verdana" w:hAnsi="Verdana"/>
              </w:rPr>
              <w:t>2,7%</w:t>
            </w:r>
          </w:p>
        </w:tc>
      </w:tr>
    </w:tbl>
    <w:p w:rsidR="003B4E55" w:rsidRPr="00A61430" w:rsidRDefault="003B4E55" w:rsidP="003B4E55">
      <w:pPr>
        <w:jc w:val="both"/>
        <w:rPr>
          <w:rFonts w:ascii="Verdana" w:hAnsi="Verdana"/>
        </w:rPr>
      </w:pPr>
      <w:r w:rsidRPr="004F5D23">
        <w:rPr>
          <w:rFonts w:ascii="Verdana" w:hAnsi="Verdana"/>
          <w:b/>
        </w:rPr>
        <w:t>Πηγή:</w:t>
      </w:r>
      <w:r w:rsidRPr="00A61430">
        <w:rPr>
          <w:rFonts w:ascii="Verdana" w:hAnsi="Verdana"/>
        </w:rPr>
        <w:t xml:space="preserve"> Στατιστική Υπηρεσία Αζερμπαϊτζάν</w:t>
      </w:r>
    </w:p>
    <w:p w:rsidR="003B4E55" w:rsidRDefault="003B4E55" w:rsidP="00A61430">
      <w:pPr>
        <w:jc w:val="both"/>
        <w:rPr>
          <w:rFonts w:ascii="Verdana" w:hAnsi="Verdana"/>
        </w:rPr>
      </w:pPr>
    </w:p>
    <w:p w:rsidR="00C20366" w:rsidRPr="00A61430" w:rsidRDefault="00C20366" w:rsidP="00A61430">
      <w:pPr>
        <w:jc w:val="both"/>
        <w:rPr>
          <w:rFonts w:ascii="Verdana" w:hAnsi="Verdana"/>
        </w:rPr>
      </w:pPr>
    </w:p>
    <w:p w:rsidR="00C20366" w:rsidRPr="006E4EC8" w:rsidRDefault="006E4EC8" w:rsidP="006E4EC8">
      <w:pPr>
        <w:pStyle w:val="3"/>
        <w:numPr>
          <w:ilvl w:val="0"/>
          <w:numId w:val="0"/>
        </w:numPr>
        <w:jc w:val="both"/>
        <w:rPr>
          <w:rStyle w:val="4Char"/>
          <w:rFonts w:ascii="Verdana" w:hAnsi="Verdana"/>
          <w:color w:val="002060"/>
          <w:sz w:val="24"/>
          <w:szCs w:val="24"/>
        </w:rPr>
      </w:pPr>
      <w:bookmarkStart w:id="17" w:name="_Toc392595498"/>
      <w:r w:rsidRPr="006E4EC8">
        <w:rPr>
          <w:rFonts w:ascii="Verdana" w:hAnsi="Verdana"/>
          <w:color w:val="002060"/>
          <w:sz w:val="24"/>
          <w:szCs w:val="24"/>
        </w:rPr>
        <w:t>5.</w:t>
      </w:r>
      <w:r w:rsidR="00C20366" w:rsidRPr="006E4EC8">
        <w:rPr>
          <w:rFonts w:ascii="Verdana" w:hAnsi="Verdana"/>
          <w:color w:val="002060"/>
          <w:sz w:val="24"/>
          <w:szCs w:val="24"/>
        </w:rPr>
        <w:t xml:space="preserve"> ΕΠΕΝΔΥΤΙΚΟ </w:t>
      </w:r>
      <w:bookmarkEnd w:id="17"/>
      <w:r w:rsidRPr="006E4EC8">
        <w:rPr>
          <w:rFonts w:ascii="Verdana" w:hAnsi="Verdana"/>
          <w:color w:val="002060"/>
          <w:sz w:val="24"/>
          <w:szCs w:val="24"/>
        </w:rPr>
        <w:t>ΠΕΡΙΒΑΛΛΟΝ</w:t>
      </w:r>
    </w:p>
    <w:p w:rsidR="00C20366" w:rsidRPr="00A61430" w:rsidRDefault="00C20366" w:rsidP="00A61430">
      <w:pPr>
        <w:jc w:val="both"/>
        <w:rPr>
          <w:rStyle w:val="4Char"/>
          <w:rFonts w:ascii="Verdana" w:hAnsi="Verdana"/>
        </w:rPr>
      </w:pPr>
    </w:p>
    <w:p w:rsidR="00C20366" w:rsidRPr="006E4EC8" w:rsidRDefault="006E4EC8" w:rsidP="00A61430">
      <w:pPr>
        <w:jc w:val="both"/>
        <w:rPr>
          <w:rFonts w:ascii="Verdana" w:hAnsi="Verdana"/>
          <w:i/>
        </w:rPr>
      </w:pPr>
      <w:bookmarkStart w:id="18" w:name="_Toc392595499"/>
      <w:r w:rsidRPr="006E4EC8">
        <w:rPr>
          <w:rStyle w:val="4Char"/>
          <w:rFonts w:ascii="Verdana" w:hAnsi="Verdana"/>
          <w:i w:val="0"/>
          <w:color w:val="auto"/>
        </w:rPr>
        <w:t>5</w:t>
      </w:r>
      <w:r w:rsidR="00C20366" w:rsidRPr="006E4EC8">
        <w:rPr>
          <w:rStyle w:val="4Char"/>
          <w:rFonts w:ascii="Verdana" w:hAnsi="Verdana"/>
          <w:i w:val="0"/>
          <w:color w:val="auto"/>
        </w:rPr>
        <w:t xml:space="preserve">.1 </w:t>
      </w:r>
      <w:r>
        <w:rPr>
          <w:rStyle w:val="4Char"/>
          <w:rFonts w:ascii="Verdana" w:hAnsi="Verdana"/>
          <w:i w:val="0"/>
          <w:color w:val="auto"/>
        </w:rPr>
        <w:t xml:space="preserve"> </w:t>
      </w:r>
      <w:r w:rsidR="00D04D1B">
        <w:rPr>
          <w:rStyle w:val="4Char"/>
          <w:rFonts w:ascii="Verdana" w:hAnsi="Verdana"/>
          <w:i w:val="0"/>
          <w:color w:val="auto"/>
        </w:rPr>
        <w:t>Ξένες Άμεσες Ε</w:t>
      </w:r>
      <w:r w:rsidR="00C20366" w:rsidRPr="006E4EC8">
        <w:rPr>
          <w:rStyle w:val="4Char"/>
          <w:rFonts w:ascii="Verdana" w:hAnsi="Verdana"/>
          <w:i w:val="0"/>
          <w:color w:val="auto"/>
        </w:rPr>
        <w:t>πενδύσεις</w:t>
      </w:r>
      <w:bookmarkEnd w:id="18"/>
    </w:p>
    <w:p w:rsidR="00C20366" w:rsidRPr="009A4C32" w:rsidRDefault="00C20366" w:rsidP="00A61430">
      <w:pPr>
        <w:jc w:val="both"/>
        <w:rPr>
          <w:rFonts w:ascii="Verdana" w:hAnsi="Verdana"/>
          <w:b/>
          <w:color w:val="000000"/>
        </w:rPr>
      </w:pPr>
      <w:r w:rsidRPr="00A61430">
        <w:rPr>
          <w:rFonts w:ascii="Verdana" w:hAnsi="Verdana"/>
        </w:rPr>
        <w:t xml:space="preserve">Σύμφωνα με την τελευταία ετήσια έκθεση </w:t>
      </w:r>
      <w:r w:rsidR="00050F45">
        <w:rPr>
          <w:rFonts w:ascii="Verdana" w:hAnsi="Verdana"/>
        </w:rPr>
        <w:t xml:space="preserve"> </w:t>
      </w:r>
      <w:r w:rsidRPr="00A61430">
        <w:rPr>
          <w:rFonts w:ascii="Verdana" w:hAnsi="Verdana"/>
          <w:i/>
          <w:iCs/>
          <w:lang w:val="en-US"/>
        </w:rPr>
        <w:t>World</w:t>
      </w:r>
      <w:r w:rsidRPr="00A61430">
        <w:rPr>
          <w:rFonts w:ascii="Verdana" w:hAnsi="Verdana"/>
          <w:i/>
          <w:iCs/>
        </w:rPr>
        <w:t xml:space="preserve"> </w:t>
      </w:r>
      <w:r w:rsidRPr="00A61430">
        <w:rPr>
          <w:rFonts w:ascii="Verdana" w:hAnsi="Verdana"/>
          <w:i/>
          <w:iCs/>
          <w:lang w:val="en-US"/>
        </w:rPr>
        <w:t>Investment</w:t>
      </w:r>
      <w:r w:rsidRPr="00A61430">
        <w:rPr>
          <w:rFonts w:ascii="Verdana" w:hAnsi="Verdana"/>
          <w:i/>
          <w:iCs/>
        </w:rPr>
        <w:t xml:space="preserve"> </w:t>
      </w:r>
      <w:r w:rsidRPr="00A61430">
        <w:rPr>
          <w:rFonts w:ascii="Verdana" w:hAnsi="Verdana"/>
          <w:i/>
          <w:iCs/>
          <w:lang w:val="en-US"/>
        </w:rPr>
        <w:t>Report</w:t>
      </w:r>
      <w:r w:rsidRPr="00A61430">
        <w:rPr>
          <w:rFonts w:ascii="Verdana" w:hAnsi="Verdana"/>
        </w:rPr>
        <w:t xml:space="preserve"> </w:t>
      </w:r>
      <w:r w:rsidR="005E44D9">
        <w:rPr>
          <w:rFonts w:ascii="Verdana" w:hAnsi="Verdana"/>
        </w:rPr>
        <w:t>2020</w:t>
      </w:r>
      <w:r w:rsidR="00050F45">
        <w:rPr>
          <w:rFonts w:ascii="Verdana" w:hAnsi="Verdana"/>
        </w:rPr>
        <w:t xml:space="preserve"> </w:t>
      </w:r>
      <w:r w:rsidRPr="00A61430">
        <w:rPr>
          <w:rFonts w:ascii="Verdana" w:hAnsi="Verdana"/>
        </w:rPr>
        <w:t xml:space="preserve">της </w:t>
      </w:r>
      <w:r w:rsidRPr="00A61430">
        <w:rPr>
          <w:rFonts w:ascii="Verdana" w:hAnsi="Verdana"/>
          <w:lang w:val="en-US"/>
        </w:rPr>
        <w:t>UNCTAD</w:t>
      </w:r>
      <w:r w:rsidRPr="00A61430">
        <w:rPr>
          <w:rFonts w:ascii="Verdana" w:hAnsi="Verdana"/>
        </w:rPr>
        <w:t>, η οποία αποτελεί την πλέον έγκριτη π</w:t>
      </w:r>
      <w:r w:rsidR="005E44D9">
        <w:rPr>
          <w:rFonts w:ascii="Verdana" w:hAnsi="Verdana"/>
        </w:rPr>
        <w:t>ηγή περί ΞΑΕ παγκοσμίως, το 2019</w:t>
      </w:r>
      <w:r w:rsidRPr="00A61430">
        <w:rPr>
          <w:rFonts w:ascii="Verdana" w:hAnsi="Verdana"/>
        </w:rPr>
        <w:t xml:space="preserve"> το Αζερμπαϊτζάν προσέλκυσε </w:t>
      </w:r>
      <w:r w:rsidR="005E44D9">
        <w:rPr>
          <w:rFonts w:ascii="Verdana" w:hAnsi="Verdana"/>
        </w:rPr>
        <w:t>1.504 εκατ.</w:t>
      </w:r>
      <w:r w:rsidR="005E44D9" w:rsidRPr="009A4250">
        <w:rPr>
          <w:rFonts w:ascii="Verdana" w:hAnsi="Verdana"/>
          <w:b/>
        </w:rPr>
        <w:t xml:space="preserve"> </w:t>
      </w:r>
      <w:r w:rsidR="005E44D9" w:rsidRPr="009A4250">
        <w:rPr>
          <w:rFonts w:ascii="Verdana" w:hAnsi="Verdana"/>
          <w:lang w:val="en-US"/>
        </w:rPr>
        <w:t>US</w:t>
      </w:r>
      <w:r w:rsidR="005E44D9" w:rsidRPr="009A4250">
        <w:rPr>
          <w:rFonts w:ascii="Verdana" w:hAnsi="Verdana"/>
        </w:rPr>
        <w:t xml:space="preserve"> $, έναντι</w:t>
      </w:r>
      <w:r w:rsidR="005E44D9">
        <w:rPr>
          <w:rFonts w:ascii="Verdana" w:hAnsi="Verdana"/>
        </w:rPr>
        <w:t xml:space="preserve"> </w:t>
      </w:r>
      <w:r w:rsidR="006E4EC8">
        <w:rPr>
          <w:rFonts w:ascii="Verdana" w:hAnsi="Verdana"/>
        </w:rPr>
        <w:t xml:space="preserve">1.403 </w:t>
      </w:r>
      <w:r w:rsidR="005E44D9">
        <w:rPr>
          <w:rFonts w:ascii="Verdana" w:hAnsi="Verdana"/>
        </w:rPr>
        <w:t xml:space="preserve">το 2018 και </w:t>
      </w:r>
      <w:r w:rsidR="009A4250">
        <w:rPr>
          <w:rFonts w:ascii="Verdana" w:hAnsi="Verdana"/>
        </w:rPr>
        <w:t>2.867 εκατ.</w:t>
      </w:r>
      <w:r w:rsidRPr="00A61430">
        <w:rPr>
          <w:rFonts w:ascii="Verdana" w:hAnsi="Verdana"/>
        </w:rPr>
        <w:t xml:space="preserve"> </w:t>
      </w:r>
      <w:r w:rsidR="009A4250">
        <w:rPr>
          <w:rFonts w:ascii="Verdana" w:hAnsi="Verdana"/>
        </w:rPr>
        <w:t>το 2017</w:t>
      </w:r>
      <w:r w:rsidR="005E44D9">
        <w:rPr>
          <w:rFonts w:ascii="Verdana" w:hAnsi="Verdana"/>
        </w:rPr>
        <w:t>. Το 2019</w:t>
      </w:r>
      <w:r w:rsidR="009A4250">
        <w:rPr>
          <w:rFonts w:ascii="Verdana" w:hAnsi="Verdana"/>
        </w:rPr>
        <w:t xml:space="preserve"> παρατηρήθηκε, συνεπώς,</w:t>
      </w:r>
      <w:r w:rsidR="005E44D9">
        <w:rPr>
          <w:rFonts w:ascii="Verdana" w:hAnsi="Verdana"/>
        </w:rPr>
        <w:t xml:space="preserve"> αύξηση κατά 7,2% </w:t>
      </w:r>
      <w:r w:rsidR="009A4250">
        <w:rPr>
          <w:rFonts w:ascii="Verdana" w:hAnsi="Verdana"/>
        </w:rPr>
        <w:t xml:space="preserve"> </w:t>
      </w:r>
      <w:r w:rsidR="00050F45">
        <w:rPr>
          <w:rFonts w:ascii="Verdana" w:hAnsi="Verdana"/>
        </w:rPr>
        <w:t xml:space="preserve">μετά την σημειωθείσα </w:t>
      </w:r>
      <w:r w:rsidR="005E44D9">
        <w:rPr>
          <w:rFonts w:ascii="Verdana" w:hAnsi="Verdana"/>
        </w:rPr>
        <w:t xml:space="preserve">κατά </w:t>
      </w:r>
      <w:r w:rsidR="005E44D9" w:rsidRPr="00A61430">
        <w:rPr>
          <w:rFonts w:ascii="Verdana" w:hAnsi="Verdana"/>
        </w:rPr>
        <w:t xml:space="preserve"> </w:t>
      </w:r>
      <w:r w:rsidR="005E44D9">
        <w:rPr>
          <w:rFonts w:ascii="Verdana" w:hAnsi="Verdana"/>
        </w:rPr>
        <w:t>51% μείωση το 2018</w:t>
      </w:r>
      <w:r w:rsidR="00E37AC5">
        <w:rPr>
          <w:rFonts w:ascii="Verdana" w:hAnsi="Verdana"/>
        </w:rPr>
        <w:t xml:space="preserve"> και </w:t>
      </w:r>
      <w:r w:rsidR="009D1965">
        <w:rPr>
          <w:rFonts w:ascii="Verdana" w:hAnsi="Verdana"/>
        </w:rPr>
        <w:t xml:space="preserve"> </w:t>
      </w:r>
      <w:r w:rsidR="00E37AC5">
        <w:rPr>
          <w:rFonts w:ascii="Verdana" w:hAnsi="Verdana"/>
        </w:rPr>
        <w:t xml:space="preserve">κατά </w:t>
      </w:r>
      <w:r w:rsidR="00E37AC5" w:rsidRPr="00A61430">
        <w:rPr>
          <w:rFonts w:ascii="Verdana" w:hAnsi="Verdana"/>
        </w:rPr>
        <w:t>36,3%</w:t>
      </w:r>
      <w:r w:rsidR="00E37AC5">
        <w:rPr>
          <w:rFonts w:ascii="Verdana" w:hAnsi="Verdana"/>
        </w:rPr>
        <w:t xml:space="preserve"> μείωση </w:t>
      </w:r>
      <w:r w:rsidR="009D1965">
        <w:rPr>
          <w:rFonts w:ascii="Verdana" w:hAnsi="Verdana"/>
        </w:rPr>
        <w:t>το 2017</w:t>
      </w:r>
      <w:r w:rsidRPr="00A61430">
        <w:rPr>
          <w:rFonts w:ascii="Verdana" w:hAnsi="Verdana"/>
        </w:rPr>
        <w:t xml:space="preserve">. Η </w:t>
      </w:r>
      <w:r w:rsidR="009D1965">
        <w:rPr>
          <w:rFonts w:ascii="Verdana" w:hAnsi="Verdana"/>
        </w:rPr>
        <w:t>χαμηλή</w:t>
      </w:r>
      <w:r w:rsidRPr="00A61430">
        <w:rPr>
          <w:rFonts w:ascii="Verdana" w:hAnsi="Verdana"/>
        </w:rPr>
        <w:t xml:space="preserve"> </w:t>
      </w:r>
      <w:r w:rsidR="009D1965">
        <w:rPr>
          <w:rFonts w:ascii="Verdana" w:hAnsi="Verdana"/>
        </w:rPr>
        <w:t>προσέλκυση ΞΑΕ</w:t>
      </w:r>
      <w:r w:rsidR="009D1965" w:rsidRPr="00A61430">
        <w:rPr>
          <w:rFonts w:ascii="Verdana" w:hAnsi="Verdana"/>
        </w:rPr>
        <w:t xml:space="preserve"> </w:t>
      </w:r>
      <w:r w:rsidRPr="00A61430">
        <w:rPr>
          <w:rFonts w:ascii="Verdana" w:hAnsi="Verdana"/>
        </w:rPr>
        <w:t xml:space="preserve">βρίσκεται σε αντίθεση με την επίδοση της προηγούμενης τριετίας από το 2014 έως και το 2016, όταν η ετήσια εισροή ΞΑΕ στη χώρα υπερέβαινε σταθερά τα 4 δις $. </w:t>
      </w:r>
    </w:p>
    <w:p w:rsidR="00C20366" w:rsidRPr="00A61430" w:rsidRDefault="00C20366" w:rsidP="00A61430">
      <w:pPr>
        <w:jc w:val="both"/>
        <w:rPr>
          <w:rFonts w:ascii="Verdana" w:hAnsi="Verdana"/>
          <w:color w:val="000000"/>
        </w:rPr>
      </w:pPr>
      <w:r w:rsidRPr="00A61430">
        <w:rPr>
          <w:rFonts w:ascii="Verdana" w:hAnsi="Verdana"/>
          <w:color w:val="000000"/>
        </w:rPr>
        <w:t>Σε κάθε περίπτωση, η συνολική εισροή ΞΑΕ τις τελευταίες δύο δεκαετίες υπήρξε εντυπωσιακή</w:t>
      </w:r>
      <w:r w:rsidR="00D04D1B">
        <w:rPr>
          <w:rFonts w:ascii="Verdana" w:hAnsi="Verdana"/>
          <w:color w:val="000000"/>
        </w:rPr>
        <w:t>.</w:t>
      </w:r>
      <w:r w:rsidRPr="00A61430">
        <w:rPr>
          <w:rFonts w:ascii="Verdana" w:hAnsi="Verdana"/>
          <w:color w:val="000000"/>
        </w:rPr>
        <w:t xml:space="preserve"> </w:t>
      </w:r>
      <w:r w:rsidR="00D04D1B" w:rsidRPr="009A4C32">
        <w:rPr>
          <w:rFonts w:ascii="Verdana" w:hAnsi="Verdana"/>
          <w:b/>
          <w:color w:val="000000"/>
        </w:rPr>
        <w:t xml:space="preserve">Το συνολικό </w:t>
      </w:r>
      <w:r w:rsidR="00D04D1B" w:rsidRPr="009A4C32">
        <w:rPr>
          <w:rFonts w:ascii="Verdana" w:hAnsi="Verdana"/>
          <w:b/>
          <w:bCs/>
          <w:color w:val="000000"/>
        </w:rPr>
        <w:t>απόθεμα ΞΑΕ</w:t>
      </w:r>
      <w:r w:rsidR="00D04D1B" w:rsidRPr="009A4C32">
        <w:rPr>
          <w:rFonts w:ascii="Verdana" w:hAnsi="Verdana"/>
          <w:b/>
          <w:color w:val="000000"/>
        </w:rPr>
        <w:t xml:space="preserve"> (</w:t>
      </w:r>
      <w:r w:rsidR="00D04D1B" w:rsidRPr="009A4C32">
        <w:rPr>
          <w:rFonts w:ascii="Verdana" w:hAnsi="Verdana"/>
          <w:b/>
          <w:color w:val="000000"/>
          <w:lang w:val="en-US"/>
        </w:rPr>
        <w:t>FDI</w:t>
      </w:r>
      <w:r w:rsidR="00D04D1B" w:rsidRPr="009A4C32">
        <w:rPr>
          <w:rFonts w:ascii="Verdana" w:hAnsi="Verdana"/>
          <w:b/>
          <w:color w:val="000000"/>
        </w:rPr>
        <w:t xml:space="preserve"> </w:t>
      </w:r>
      <w:r w:rsidR="00D04D1B" w:rsidRPr="009A4C32">
        <w:rPr>
          <w:rFonts w:ascii="Verdana" w:hAnsi="Verdana"/>
          <w:b/>
          <w:color w:val="000000"/>
          <w:lang w:val="en-US"/>
        </w:rPr>
        <w:t>stock</w:t>
      </w:r>
      <w:r w:rsidR="00D04D1B" w:rsidRPr="009A4C32">
        <w:rPr>
          <w:rFonts w:ascii="Verdana" w:hAnsi="Verdana"/>
          <w:b/>
          <w:color w:val="000000"/>
        </w:rPr>
        <w:t>) στη χ</w:t>
      </w:r>
      <w:r w:rsidR="00E37AC5">
        <w:rPr>
          <w:rFonts w:ascii="Verdana" w:hAnsi="Verdana"/>
          <w:b/>
          <w:color w:val="000000"/>
        </w:rPr>
        <w:t>ώρα ανερχόταν στο τέλος του 2019</w:t>
      </w:r>
      <w:r w:rsidR="00D04D1B" w:rsidRPr="009A4C32">
        <w:rPr>
          <w:rFonts w:ascii="Verdana" w:hAnsi="Verdana"/>
          <w:b/>
          <w:color w:val="000000"/>
        </w:rPr>
        <w:t xml:space="preserve"> σε </w:t>
      </w:r>
      <w:r w:rsidR="00E37AC5">
        <w:rPr>
          <w:rFonts w:ascii="Verdana" w:hAnsi="Verdana"/>
          <w:b/>
          <w:color w:val="000000"/>
        </w:rPr>
        <w:t>32.300</w:t>
      </w:r>
      <w:r w:rsidR="00D04D1B" w:rsidRPr="009A4C32">
        <w:rPr>
          <w:rFonts w:ascii="Verdana" w:hAnsi="Verdana"/>
          <w:b/>
          <w:color w:val="000000"/>
        </w:rPr>
        <w:t xml:space="preserve">  εκ $. </w:t>
      </w:r>
      <w:r w:rsidR="00D04D1B">
        <w:rPr>
          <w:rFonts w:ascii="Verdana" w:hAnsi="Verdana"/>
          <w:color w:val="000000"/>
        </w:rPr>
        <w:t>Σ</w:t>
      </w:r>
      <w:r w:rsidRPr="00A61430">
        <w:rPr>
          <w:rFonts w:ascii="Verdana" w:hAnsi="Verdana"/>
          <w:color w:val="000000"/>
        </w:rPr>
        <w:t xml:space="preserve">το τέλος του 1995 το απόθεμα ΞΑΕ στο </w:t>
      </w:r>
      <w:r w:rsidRPr="00A61430">
        <w:rPr>
          <w:rFonts w:ascii="Verdana" w:hAnsi="Verdana"/>
        </w:rPr>
        <w:t>Αζερμπαϊτζάν</w:t>
      </w:r>
      <w:r w:rsidRPr="00A61430">
        <w:rPr>
          <w:rFonts w:ascii="Verdana" w:hAnsi="Verdana"/>
          <w:color w:val="000000"/>
        </w:rPr>
        <w:t xml:space="preserve"> ανερχόταν σε μόλις 330 εκατ. </w:t>
      </w:r>
      <w:r w:rsidRPr="00A61430">
        <w:rPr>
          <w:rFonts w:ascii="Verdana" w:hAnsi="Verdana"/>
          <w:color w:val="000000"/>
          <w:lang w:val="en-US"/>
        </w:rPr>
        <w:t>USD</w:t>
      </w:r>
      <w:r w:rsidRPr="00A61430">
        <w:rPr>
          <w:rFonts w:ascii="Verdana" w:hAnsi="Verdana"/>
          <w:color w:val="000000"/>
        </w:rPr>
        <w:t xml:space="preserve"> και αφορούσε, επί της ουσίας, τις πρώτες επενδύσεις που ακολούθησαν το </w:t>
      </w:r>
      <w:r w:rsidRPr="00A61430">
        <w:rPr>
          <w:rFonts w:ascii="Verdana" w:hAnsi="Verdana"/>
          <w:i/>
          <w:iCs/>
          <w:color w:val="000000"/>
        </w:rPr>
        <w:t>«Συμβόλαιο του Αιώνα»</w:t>
      </w:r>
      <w:r w:rsidRPr="00A61430">
        <w:rPr>
          <w:rFonts w:ascii="Verdana" w:hAnsi="Verdana"/>
          <w:color w:val="000000"/>
        </w:rPr>
        <w:t xml:space="preserve"> (</w:t>
      </w:r>
      <w:proofErr w:type="spellStart"/>
      <w:r w:rsidRPr="00A61430">
        <w:rPr>
          <w:rFonts w:ascii="Verdana" w:hAnsi="Verdana"/>
          <w:color w:val="000000"/>
        </w:rPr>
        <w:t>Σεπτ</w:t>
      </w:r>
      <w:proofErr w:type="spellEnd"/>
      <w:r w:rsidRPr="00A61430">
        <w:rPr>
          <w:rFonts w:ascii="Verdana" w:hAnsi="Verdana"/>
          <w:color w:val="000000"/>
        </w:rPr>
        <w:t xml:space="preserve"> 1994) με τη διεθνή κοινοπραξία </w:t>
      </w:r>
      <w:r w:rsidRPr="00A61430">
        <w:rPr>
          <w:rFonts w:ascii="Verdana" w:hAnsi="Verdana"/>
          <w:color w:val="000000"/>
          <w:lang w:val="en-US"/>
        </w:rPr>
        <w:t>AIOC</w:t>
      </w:r>
      <w:r w:rsidRPr="00A61430">
        <w:rPr>
          <w:rFonts w:ascii="Verdana" w:hAnsi="Verdana"/>
          <w:color w:val="000000"/>
        </w:rPr>
        <w:t xml:space="preserve"> για την εκμετάλλευση του πετρελαϊκού </w:t>
      </w:r>
      <w:proofErr w:type="spellStart"/>
      <w:r w:rsidRPr="00A61430">
        <w:rPr>
          <w:rFonts w:ascii="Verdana" w:hAnsi="Verdana"/>
          <w:color w:val="000000"/>
        </w:rPr>
        <w:t>υπερ</w:t>
      </w:r>
      <w:proofErr w:type="spellEnd"/>
      <w:r w:rsidRPr="00A61430">
        <w:rPr>
          <w:rFonts w:ascii="Verdana" w:hAnsi="Verdana"/>
          <w:color w:val="000000"/>
        </w:rPr>
        <w:t xml:space="preserve">-κοιτάσματος </w:t>
      </w:r>
      <w:r w:rsidRPr="00A61430">
        <w:rPr>
          <w:rFonts w:ascii="Verdana" w:hAnsi="Verdana"/>
          <w:color w:val="000000"/>
          <w:lang w:val="en-US"/>
        </w:rPr>
        <w:t>ACG</w:t>
      </w:r>
      <w:r w:rsidRPr="00A61430">
        <w:rPr>
          <w:rFonts w:ascii="Verdana" w:hAnsi="Verdana"/>
          <w:color w:val="000000"/>
        </w:rPr>
        <w:t xml:space="preserve"> στην Κασπία. Εν ολίγ</w:t>
      </w:r>
      <w:r w:rsidR="00E37AC5">
        <w:rPr>
          <w:rFonts w:ascii="Verdana" w:hAnsi="Verdana"/>
          <w:color w:val="000000"/>
        </w:rPr>
        <w:t>οις, μέσα σε 24 έτη (1995 - 2019</w:t>
      </w:r>
      <w:r w:rsidRPr="00A61430">
        <w:rPr>
          <w:rFonts w:ascii="Verdana" w:hAnsi="Verdana"/>
          <w:color w:val="000000"/>
        </w:rPr>
        <w:t xml:space="preserve">) το απόθεμα ΞΑΕ </w:t>
      </w:r>
      <w:r w:rsidR="009A4C32">
        <w:rPr>
          <w:rFonts w:ascii="Verdana" w:hAnsi="Verdana"/>
          <w:color w:val="000000"/>
        </w:rPr>
        <w:t>αυξήθηκε κατά 95</w:t>
      </w:r>
      <w:r w:rsidRPr="00A61430">
        <w:rPr>
          <w:rFonts w:ascii="Verdana" w:hAnsi="Verdana"/>
          <w:color w:val="000000"/>
        </w:rPr>
        <w:t xml:space="preserve"> φορές, επίδοση ίσως μον</w:t>
      </w:r>
      <w:r w:rsidR="009A4C32">
        <w:rPr>
          <w:rFonts w:ascii="Verdana" w:hAnsi="Verdana"/>
          <w:color w:val="000000"/>
        </w:rPr>
        <w:t>αδική στα παγκόσμια χρονικά. Η</w:t>
      </w:r>
      <w:r w:rsidRPr="00A61430">
        <w:rPr>
          <w:rFonts w:ascii="Verdana" w:hAnsi="Verdana"/>
          <w:color w:val="000000"/>
        </w:rPr>
        <w:t xml:space="preserve"> μερίδα του λέοντος των </w:t>
      </w:r>
      <w:r w:rsidR="009A4C32">
        <w:rPr>
          <w:rFonts w:ascii="Verdana" w:hAnsi="Verdana"/>
          <w:color w:val="000000"/>
        </w:rPr>
        <w:t>ΞΑΕ κατευθύνθηκε στον ενεργειακό κλάδο και κυρίως</w:t>
      </w:r>
      <w:r w:rsidRPr="00A61430">
        <w:rPr>
          <w:rFonts w:ascii="Verdana" w:hAnsi="Verdana"/>
          <w:color w:val="000000"/>
        </w:rPr>
        <w:t xml:space="preserve"> </w:t>
      </w:r>
      <w:r w:rsidR="009A4C32">
        <w:rPr>
          <w:rFonts w:ascii="Verdana" w:hAnsi="Verdana"/>
          <w:color w:val="000000"/>
        </w:rPr>
        <w:t>στη δεύτερη φάση ανάπτυξης</w:t>
      </w:r>
      <w:r w:rsidRPr="00A61430">
        <w:rPr>
          <w:rFonts w:ascii="Verdana" w:hAnsi="Verdana"/>
          <w:color w:val="000000"/>
        </w:rPr>
        <w:t xml:space="preserve"> του κοιτάσματος Φ/Α </w:t>
      </w:r>
      <w:proofErr w:type="spellStart"/>
      <w:r w:rsidRPr="00A61430">
        <w:rPr>
          <w:rFonts w:ascii="Verdana" w:hAnsi="Verdana"/>
          <w:color w:val="000000"/>
        </w:rPr>
        <w:t>Σαχ</w:t>
      </w:r>
      <w:proofErr w:type="spellEnd"/>
      <w:r w:rsidRPr="00A61430">
        <w:rPr>
          <w:rFonts w:ascii="Verdana" w:hAnsi="Verdana"/>
          <w:color w:val="000000"/>
        </w:rPr>
        <w:t xml:space="preserve"> </w:t>
      </w:r>
      <w:proofErr w:type="spellStart"/>
      <w:r w:rsidRPr="00A61430">
        <w:rPr>
          <w:rFonts w:ascii="Verdana" w:hAnsi="Verdana"/>
          <w:color w:val="000000"/>
        </w:rPr>
        <w:t>Ντενίζ</w:t>
      </w:r>
      <w:proofErr w:type="spellEnd"/>
      <w:r w:rsidRPr="00A61430">
        <w:rPr>
          <w:rFonts w:ascii="Verdana" w:hAnsi="Verdana"/>
          <w:color w:val="000000"/>
        </w:rPr>
        <w:t xml:space="preserve"> (</w:t>
      </w:r>
      <w:r w:rsidRPr="00A61430">
        <w:rPr>
          <w:rFonts w:ascii="Verdana" w:hAnsi="Verdana"/>
          <w:color w:val="000000"/>
          <w:lang w:val="en-US"/>
        </w:rPr>
        <w:t>SD</w:t>
      </w:r>
      <w:r w:rsidRPr="00A61430">
        <w:rPr>
          <w:rFonts w:ascii="Verdana" w:hAnsi="Verdana"/>
          <w:color w:val="000000"/>
        </w:rPr>
        <w:t>2</w:t>
      </w:r>
      <w:r w:rsidR="00D04D1B">
        <w:rPr>
          <w:rFonts w:ascii="Verdana" w:hAnsi="Verdana"/>
          <w:color w:val="000000"/>
        </w:rPr>
        <w:t>)</w:t>
      </w:r>
      <w:r w:rsidR="009A4C32">
        <w:rPr>
          <w:rFonts w:ascii="Verdana" w:hAnsi="Verdana"/>
          <w:color w:val="000000"/>
        </w:rPr>
        <w:t>.</w:t>
      </w:r>
      <w:r w:rsidRPr="00A61430">
        <w:rPr>
          <w:rFonts w:ascii="Verdana" w:hAnsi="Verdana"/>
          <w:color w:val="000000"/>
        </w:rPr>
        <w:t xml:space="preserve"> </w:t>
      </w:r>
      <w:r w:rsidR="00D04D1B">
        <w:rPr>
          <w:rFonts w:ascii="Verdana" w:hAnsi="Verdana"/>
        </w:rPr>
        <w:t>Σ</w:t>
      </w:r>
      <w:r w:rsidRPr="00A61430">
        <w:rPr>
          <w:rFonts w:ascii="Verdana" w:hAnsi="Verdana"/>
        </w:rPr>
        <w:t xml:space="preserve">ύμφωνα με στοιχεία της </w:t>
      </w:r>
      <w:r w:rsidR="009A4C32">
        <w:rPr>
          <w:rFonts w:ascii="Verdana" w:hAnsi="Verdana"/>
        </w:rPr>
        <w:t>Κεντρικής Τράπεζας του</w:t>
      </w:r>
      <w:r w:rsidRPr="00A61430">
        <w:rPr>
          <w:rFonts w:ascii="Verdana" w:hAnsi="Verdana"/>
        </w:rPr>
        <w:t xml:space="preserve"> </w:t>
      </w:r>
      <w:r w:rsidR="009A4C32" w:rsidRPr="00A61430">
        <w:rPr>
          <w:rFonts w:ascii="Verdana" w:hAnsi="Verdana"/>
        </w:rPr>
        <w:t>Αζερμπαϊτζάν</w:t>
      </w:r>
      <w:r w:rsidR="00D04D1B" w:rsidRPr="00D04D1B">
        <w:rPr>
          <w:rFonts w:ascii="Verdana" w:hAnsi="Verdana"/>
          <w:color w:val="000000"/>
        </w:rPr>
        <w:t xml:space="preserve"> </w:t>
      </w:r>
      <w:r w:rsidR="00D04D1B">
        <w:rPr>
          <w:rFonts w:ascii="Verdana" w:hAnsi="Verdana"/>
          <w:color w:val="000000"/>
        </w:rPr>
        <w:t>π</w:t>
      </w:r>
      <w:r w:rsidR="00D04D1B" w:rsidRPr="00A61430">
        <w:rPr>
          <w:rFonts w:ascii="Verdana" w:hAnsi="Verdana"/>
        </w:rPr>
        <w:t xml:space="preserve">οσοστό </w:t>
      </w:r>
      <w:r w:rsidR="004A5731">
        <w:rPr>
          <w:rFonts w:ascii="Verdana" w:hAnsi="Verdana"/>
        </w:rPr>
        <w:t>76,5</w:t>
      </w:r>
      <w:r w:rsidR="00D04D1B" w:rsidRPr="00A61430">
        <w:rPr>
          <w:rFonts w:ascii="Verdana" w:hAnsi="Verdana"/>
        </w:rPr>
        <w:t>% των ΞΑΕ</w:t>
      </w:r>
      <w:r w:rsidRPr="00A61430">
        <w:rPr>
          <w:rFonts w:ascii="Verdana" w:hAnsi="Verdana"/>
        </w:rPr>
        <w:t xml:space="preserve"> κατευθύνεται </w:t>
      </w:r>
      <w:r w:rsidR="00D04D1B">
        <w:rPr>
          <w:rFonts w:ascii="Verdana" w:hAnsi="Verdana"/>
        </w:rPr>
        <w:t>στον ενεργειακό τομέα,</w:t>
      </w:r>
      <w:r w:rsidRPr="00A61430">
        <w:rPr>
          <w:rFonts w:ascii="Verdana" w:hAnsi="Verdana"/>
        </w:rPr>
        <w:t xml:space="preserve"> καταδεικνύοντας την έλλειψη διαφοροποίησης της </w:t>
      </w:r>
      <w:r w:rsidR="00D04D1B">
        <w:rPr>
          <w:rFonts w:ascii="Verdana" w:hAnsi="Verdana"/>
        </w:rPr>
        <w:t>επενδυτικής δραστηριότητας</w:t>
      </w:r>
      <w:r w:rsidRPr="00A61430">
        <w:rPr>
          <w:rFonts w:ascii="Verdana" w:hAnsi="Verdana"/>
        </w:rPr>
        <w:t xml:space="preserve">. </w:t>
      </w:r>
      <w:r w:rsidRPr="00A61430">
        <w:rPr>
          <w:rFonts w:ascii="Verdana" w:hAnsi="Verdana"/>
          <w:color w:val="000000"/>
        </w:rPr>
        <w:t xml:space="preserve">Η υλοποίηση της δεύτερης φάσης του </w:t>
      </w:r>
      <w:proofErr w:type="spellStart"/>
      <w:r w:rsidRPr="00A61430">
        <w:rPr>
          <w:rFonts w:ascii="Verdana" w:hAnsi="Verdana"/>
          <w:color w:val="000000"/>
        </w:rPr>
        <w:t>Σαχ</w:t>
      </w:r>
      <w:proofErr w:type="spellEnd"/>
      <w:r w:rsidRPr="00A61430">
        <w:rPr>
          <w:rFonts w:ascii="Verdana" w:hAnsi="Verdana"/>
          <w:color w:val="000000"/>
        </w:rPr>
        <w:t xml:space="preserve"> </w:t>
      </w:r>
      <w:proofErr w:type="spellStart"/>
      <w:r w:rsidRPr="00A61430">
        <w:rPr>
          <w:rFonts w:ascii="Verdana" w:hAnsi="Verdana"/>
          <w:color w:val="000000"/>
        </w:rPr>
        <w:t>Ντενίζ</w:t>
      </w:r>
      <w:proofErr w:type="spellEnd"/>
      <w:r w:rsidRPr="00A61430">
        <w:rPr>
          <w:rFonts w:ascii="Verdana" w:hAnsi="Verdana"/>
          <w:color w:val="000000"/>
        </w:rPr>
        <w:t xml:space="preserve"> </w:t>
      </w:r>
      <w:r w:rsidR="00D04D1B">
        <w:rPr>
          <w:rFonts w:ascii="Verdana" w:hAnsi="Verdana"/>
          <w:color w:val="000000"/>
        </w:rPr>
        <w:t>ουσιαστικά ολοκληρώθηκε</w:t>
      </w:r>
      <w:r w:rsidRPr="00A61430">
        <w:rPr>
          <w:rFonts w:ascii="Verdana" w:hAnsi="Verdana"/>
          <w:color w:val="000000"/>
        </w:rPr>
        <w:t xml:space="preserve"> στα μέσα του 2018, επομένως, προκύπτουν ερωτηματικά ως προς τις </w:t>
      </w:r>
      <w:r w:rsidR="00D04D1B">
        <w:rPr>
          <w:rFonts w:ascii="Verdana" w:hAnsi="Verdana"/>
          <w:color w:val="000000"/>
        </w:rPr>
        <w:t xml:space="preserve">μελλοντικές </w:t>
      </w:r>
      <w:r w:rsidRPr="00A61430">
        <w:rPr>
          <w:rFonts w:ascii="Verdana" w:hAnsi="Verdana"/>
          <w:color w:val="000000"/>
        </w:rPr>
        <w:t xml:space="preserve">αναπτυξιακές προοπτικές της χώρας.      </w:t>
      </w:r>
    </w:p>
    <w:p w:rsidR="00C20366" w:rsidRPr="00E94547" w:rsidRDefault="00D04D1B" w:rsidP="00A61430">
      <w:pPr>
        <w:jc w:val="both"/>
        <w:rPr>
          <w:rFonts w:ascii="Verdana" w:hAnsi="Verdana"/>
          <w:b/>
        </w:rPr>
      </w:pPr>
      <w:r>
        <w:rPr>
          <w:rFonts w:ascii="Verdana" w:hAnsi="Verdana"/>
          <w:color w:val="000000"/>
        </w:rPr>
        <w:t>Η</w:t>
      </w:r>
      <w:r w:rsidR="00C20366" w:rsidRPr="00A61430">
        <w:rPr>
          <w:rFonts w:ascii="Verdana" w:hAnsi="Verdana"/>
          <w:color w:val="000000"/>
        </w:rPr>
        <w:t xml:space="preserve"> χώρα έχει </w:t>
      </w:r>
      <w:r>
        <w:rPr>
          <w:rFonts w:ascii="Verdana" w:hAnsi="Verdana"/>
          <w:color w:val="000000"/>
        </w:rPr>
        <w:t>παράλληλα</w:t>
      </w:r>
      <w:r w:rsidR="00C20366" w:rsidRPr="00A61430">
        <w:rPr>
          <w:rFonts w:ascii="Verdana" w:hAnsi="Verdana"/>
          <w:color w:val="000000"/>
        </w:rPr>
        <w:t xml:space="preserve"> αναδειχθεί και σε </w:t>
      </w:r>
      <w:r>
        <w:rPr>
          <w:rFonts w:ascii="Verdana" w:hAnsi="Verdana"/>
          <w:b/>
          <w:bCs/>
          <w:color w:val="000000"/>
        </w:rPr>
        <w:t>σημαντικό</w:t>
      </w:r>
      <w:r w:rsidR="00C20366" w:rsidRPr="00A61430">
        <w:rPr>
          <w:rFonts w:ascii="Verdana" w:hAnsi="Verdana"/>
          <w:b/>
          <w:bCs/>
          <w:color w:val="000000"/>
        </w:rPr>
        <w:t xml:space="preserve"> διεθνή επενδυτή</w:t>
      </w:r>
      <w:r w:rsidR="00C20366" w:rsidRPr="00A61430">
        <w:rPr>
          <w:rFonts w:ascii="Verdana" w:hAnsi="Verdana"/>
          <w:color w:val="000000"/>
        </w:rPr>
        <w:t>, εκτός α</w:t>
      </w:r>
      <w:r w:rsidR="00E37AC5">
        <w:rPr>
          <w:rFonts w:ascii="Verdana" w:hAnsi="Verdana"/>
          <w:color w:val="000000"/>
        </w:rPr>
        <w:t>πό προορισμό επενδύσεων: το 2019</w:t>
      </w:r>
      <w:r w:rsidR="00187108">
        <w:rPr>
          <w:rFonts w:ascii="Verdana" w:hAnsi="Verdana"/>
          <w:color w:val="000000"/>
        </w:rPr>
        <w:t xml:space="preserve"> η εκροή ΞΑΕ από</w:t>
      </w:r>
      <w:r w:rsidR="00C20366" w:rsidRPr="00A61430">
        <w:rPr>
          <w:rFonts w:ascii="Verdana" w:hAnsi="Verdana"/>
          <w:color w:val="000000"/>
        </w:rPr>
        <w:t xml:space="preserve"> το </w:t>
      </w:r>
      <w:r w:rsidR="00C20366" w:rsidRPr="00A61430">
        <w:rPr>
          <w:rFonts w:ascii="Verdana" w:hAnsi="Verdana"/>
        </w:rPr>
        <w:t>Αζερμπαϊτζάν</w:t>
      </w:r>
      <w:r>
        <w:rPr>
          <w:rFonts w:ascii="Verdana" w:hAnsi="Verdana"/>
          <w:color w:val="000000"/>
        </w:rPr>
        <w:t xml:space="preserve"> -κατά βάση από την κρατική</w:t>
      </w:r>
      <w:r w:rsidR="00C20366" w:rsidRPr="00A61430">
        <w:rPr>
          <w:rFonts w:ascii="Verdana" w:hAnsi="Verdana"/>
          <w:color w:val="000000"/>
        </w:rPr>
        <w:t xml:space="preserve"> </w:t>
      </w:r>
      <w:r w:rsidR="00C20366" w:rsidRPr="00A61430">
        <w:rPr>
          <w:rFonts w:ascii="Verdana" w:hAnsi="Verdana"/>
          <w:color w:val="000000"/>
          <w:lang w:val="en-US"/>
        </w:rPr>
        <w:t>SOCAR</w:t>
      </w:r>
      <w:r w:rsidR="00C20366" w:rsidRPr="00A61430">
        <w:rPr>
          <w:rFonts w:ascii="Verdana" w:hAnsi="Verdana"/>
          <w:color w:val="000000"/>
        </w:rPr>
        <w:t xml:space="preserve">- προς τρίτες χώρες ανήλθε σε </w:t>
      </w:r>
      <w:r w:rsidR="00E37AC5">
        <w:rPr>
          <w:rFonts w:ascii="Verdana" w:hAnsi="Verdana"/>
          <w:color w:val="000000"/>
        </w:rPr>
        <w:t xml:space="preserve">2.432 </w:t>
      </w:r>
      <w:r w:rsidR="00E37AC5" w:rsidRPr="00A61430">
        <w:rPr>
          <w:rFonts w:ascii="Verdana" w:hAnsi="Verdana"/>
          <w:color w:val="000000"/>
        </w:rPr>
        <w:t>εκ</w:t>
      </w:r>
      <w:r w:rsidR="00E37AC5">
        <w:rPr>
          <w:rFonts w:ascii="Verdana" w:hAnsi="Verdana"/>
          <w:color w:val="000000"/>
        </w:rPr>
        <w:t>ατ.</w:t>
      </w:r>
      <w:r w:rsidR="00E37AC5" w:rsidRPr="00A61430">
        <w:rPr>
          <w:rFonts w:ascii="Verdana" w:hAnsi="Verdana"/>
          <w:color w:val="000000"/>
        </w:rPr>
        <w:t xml:space="preserve"> $</w:t>
      </w:r>
      <w:r w:rsidR="00E37AC5">
        <w:rPr>
          <w:rFonts w:ascii="Verdana" w:hAnsi="Verdana"/>
          <w:color w:val="000000"/>
        </w:rPr>
        <w:t>, έναντι</w:t>
      </w:r>
      <w:r w:rsidR="00E37AC5" w:rsidRPr="00A61430">
        <w:rPr>
          <w:rFonts w:ascii="Verdana" w:hAnsi="Verdana"/>
          <w:color w:val="000000"/>
        </w:rPr>
        <w:t xml:space="preserve"> </w:t>
      </w:r>
      <w:r>
        <w:rPr>
          <w:rFonts w:ascii="Verdana" w:hAnsi="Verdana"/>
          <w:color w:val="000000"/>
        </w:rPr>
        <w:t>1.761</w:t>
      </w:r>
      <w:r w:rsidR="00E37AC5">
        <w:rPr>
          <w:rFonts w:ascii="Verdana" w:hAnsi="Verdana"/>
          <w:color w:val="000000"/>
        </w:rPr>
        <w:t>το 2018</w:t>
      </w:r>
      <w:r>
        <w:rPr>
          <w:rFonts w:ascii="Verdana" w:hAnsi="Verdana"/>
          <w:color w:val="000000"/>
        </w:rPr>
        <w:t xml:space="preserve"> </w:t>
      </w:r>
      <w:r w:rsidR="00E37AC5">
        <w:rPr>
          <w:rFonts w:ascii="Verdana" w:hAnsi="Verdana"/>
          <w:color w:val="000000"/>
        </w:rPr>
        <w:t xml:space="preserve">και </w:t>
      </w:r>
      <w:r w:rsidR="00C20366" w:rsidRPr="00A61430">
        <w:rPr>
          <w:rFonts w:ascii="Verdana" w:hAnsi="Verdana"/>
          <w:color w:val="000000"/>
        </w:rPr>
        <w:t>2.564</w:t>
      </w:r>
      <w:r>
        <w:rPr>
          <w:rFonts w:ascii="Verdana" w:hAnsi="Verdana"/>
          <w:color w:val="000000"/>
        </w:rPr>
        <w:t xml:space="preserve"> και </w:t>
      </w:r>
      <w:r w:rsidR="00C20366" w:rsidRPr="00A61430">
        <w:rPr>
          <w:rFonts w:ascii="Verdana" w:hAnsi="Verdana"/>
          <w:color w:val="000000"/>
        </w:rPr>
        <w:t>2.574 εκ</w:t>
      </w:r>
      <w:r>
        <w:rPr>
          <w:rFonts w:ascii="Verdana" w:hAnsi="Verdana"/>
          <w:color w:val="000000"/>
        </w:rPr>
        <w:t>ατ.</w:t>
      </w:r>
      <w:r w:rsidRPr="00D04D1B">
        <w:rPr>
          <w:rFonts w:ascii="Verdana" w:hAnsi="Verdana"/>
          <w:color w:val="000000"/>
        </w:rPr>
        <w:t xml:space="preserve"> </w:t>
      </w:r>
      <w:r w:rsidRPr="00A61430">
        <w:rPr>
          <w:rFonts w:ascii="Verdana" w:hAnsi="Verdana"/>
          <w:color w:val="000000"/>
        </w:rPr>
        <w:t xml:space="preserve">$ </w:t>
      </w:r>
      <w:r w:rsidR="00C20366" w:rsidRPr="00A61430">
        <w:rPr>
          <w:rFonts w:ascii="Verdana" w:hAnsi="Verdana"/>
          <w:color w:val="000000"/>
        </w:rPr>
        <w:t xml:space="preserve"> το </w:t>
      </w:r>
      <w:r>
        <w:rPr>
          <w:rFonts w:ascii="Verdana" w:hAnsi="Verdana"/>
          <w:color w:val="000000"/>
        </w:rPr>
        <w:t xml:space="preserve">2017 </w:t>
      </w:r>
      <w:r w:rsidR="008C7E8F">
        <w:rPr>
          <w:rFonts w:ascii="Verdana" w:hAnsi="Verdana"/>
          <w:color w:val="000000"/>
        </w:rPr>
        <w:t xml:space="preserve">και </w:t>
      </w:r>
      <w:r w:rsidR="00C20366" w:rsidRPr="00A61430">
        <w:rPr>
          <w:rFonts w:ascii="Verdana" w:hAnsi="Verdana"/>
          <w:color w:val="000000"/>
        </w:rPr>
        <w:t xml:space="preserve">2016 </w:t>
      </w:r>
      <w:r w:rsidR="008C7E8F">
        <w:rPr>
          <w:rFonts w:ascii="Verdana" w:hAnsi="Verdana"/>
          <w:color w:val="000000"/>
        </w:rPr>
        <w:t>αντίστοιχα.</w:t>
      </w:r>
      <w:r w:rsidR="00E94547">
        <w:rPr>
          <w:rFonts w:ascii="Verdana" w:hAnsi="Verdana"/>
          <w:color w:val="000000"/>
        </w:rPr>
        <w:t xml:space="preserve"> </w:t>
      </w:r>
      <w:r w:rsidR="00E37AC5">
        <w:rPr>
          <w:rFonts w:ascii="Verdana" w:hAnsi="Verdana"/>
          <w:b/>
          <w:color w:val="000000"/>
        </w:rPr>
        <w:t>Στο τέλος του 2019</w:t>
      </w:r>
      <w:r w:rsidR="00C20366" w:rsidRPr="00E94547">
        <w:rPr>
          <w:rFonts w:ascii="Verdana" w:hAnsi="Verdana"/>
          <w:b/>
          <w:color w:val="000000"/>
        </w:rPr>
        <w:t xml:space="preserve">, το απόθεμα </w:t>
      </w:r>
      <w:proofErr w:type="spellStart"/>
      <w:r w:rsidR="00C20366" w:rsidRPr="00E94547">
        <w:rPr>
          <w:rFonts w:ascii="Verdana" w:hAnsi="Verdana"/>
          <w:b/>
          <w:color w:val="000000"/>
        </w:rPr>
        <w:t>αζερικών</w:t>
      </w:r>
      <w:proofErr w:type="spellEnd"/>
      <w:r w:rsidR="00C20366" w:rsidRPr="00E94547">
        <w:rPr>
          <w:rFonts w:ascii="Verdana" w:hAnsi="Verdana"/>
          <w:b/>
          <w:color w:val="000000"/>
        </w:rPr>
        <w:t xml:space="preserve"> ΞΑΕ</w:t>
      </w:r>
      <w:r w:rsidR="00E94547" w:rsidRPr="00E94547">
        <w:rPr>
          <w:rFonts w:ascii="Verdana" w:hAnsi="Verdana"/>
          <w:b/>
        </w:rPr>
        <w:t xml:space="preserve"> στο εξωτερικό</w:t>
      </w:r>
      <w:r w:rsidR="00187108">
        <w:rPr>
          <w:rFonts w:ascii="Verdana" w:hAnsi="Verdana"/>
        </w:rPr>
        <w:t>, ιδίως</w:t>
      </w:r>
      <w:r w:rsidR="00D85EC3" w:rsidRPr="00D85EC3">
        <w:rPr>
          <w:rFonts w:ascii="Verdana" w:hAnsi="Verdana"/>
        </w:rPr>
        <w:t xml:space="preserve"> </w:t>
      </w:r>
      <w:r w:rsidR="00E94547">
        <w:rPr>
          <w:rFonts w:ascii="Verdana" w:hAnsi="Verdana"/>
        </w:rPr>
        <w:t>στην Τουρκία</w:t>
      </w:r>
      <w:r w:rsidR="00C20366" w:rsidRPr="00A61430">
        <w:rPr>
          <w:rFonts w:ascii="Verdana" w:hAnsi="Verdana"/>
        </w:rPr>
        <w:t xml:space="preserve"> με μείζονες επενδύσεις το διυλιστήριο </w:t>
      </w:r>
      <w:r w:rsidR="00C20366" w:rsidRPr="00A61430">
        <w:rPr>
          <w:rFonts w:ascii="Verdana" w:hAnsi="Verdana"/>
          <w:lang w:val="en-US"/>
        </w:rPr>
        <w:t>Star</w:t>
      </w:r>
      <w:r w:rsidR="00C20366" w:rsidRPr="00A61430">
        <w:rPr>
          <w:rFonts w:ascii="Verdana" w:hAnsi="Verdana"/>
        </w:rPr>
        <w:t xml:space="preserve"> στη Σμύρνη και τον αγωγό Φ/Α ΤΑΝΑΡ, δ</w:t>
      </w:r>
      <w:r w:rsidR="00E94547">
        <w:rPr>
          <w:rFonts w:ascii="Verdana" w:hAnsi="Verdana"/>
        </w:rPr>
        <w:t xml:space="preserve">ύο έργα που αμφότερα </w:t>
      </w:r>
      <w:proofErr w:type="spellStart"/>
      <w:r w:rsidR="00E94547">
        <w:rPr>
          <w:rFonts w:ascii="Verdana" w:hAnsi="Verdana"/>
        </w:rPr>
        <w:t>ολοκληρώθησαν</w:t>
      </w:r>
      <w:proofErr w:type="spellEnd"/>
      <w:r w:rsidR="00E94547">
        <w:rPr>
          <w:rFonts w:ascii="Verdana" w:hAnsi="Verdana"/>
        </w:rPr>
        <w:t xml:space="preserve"> το 2018, </w:t>
      </w:r>
      <w:r w:rsidR="00C20366" w:rsidRPr="00E94547">
        <w:rPr>
          <w:rFonts w:ascii="Verdana" w:hAnsi="Verdana"/>
          <w:b/>
        </w:rPr>
        <w:t xml:space="preserve">ανερχόταν σε </w:t>
      </w:r>
      <w:r w:rsidR="00E37AC5">
        <w:rPr>
          <w:rFonts w:ascii="Verdana" w:hAnsi="Verdana"/>
          <w:b/>
        </w:rPr>
        <w:t>26.127</w:t>
      </w:r>
      <w:r w:rsidR="00C20366" w:rsidRPr="00E94547">
        <w:rPr>
          <w:rFonts w:ascii="Verdana" w:hAnsi="Verdana"/>
          <w:b/>
        </w:rPr>
        <w:t xml:space="preserve"> εκ $,</w:t>
      </w:r>
      <w:r w:rsidR="00C20366" w:rsidRPr="00A61430">
        <w:rPr>
          <w:rFonts w:ascii="Verdana" w:hAnsi="Verdana"/>
        </w:rPr>
        <w:t xml:space="preserve"> αποτελώντας</w:t>
      </w:r>
      <w:r w:rsidR="00C20366" w:rsidRPr="00A61430">
        <w:rPr>
          <w:rFonts w:ascii="Verdana" w:hAnsi="Verdana"/>
          <w:color w:val="000000"/>
        </w:rPr>
        <w:t xml:space="preserve"> ιστορικό υψηλό. Μόλις</w:t>
      </w:r>
      <w:r w:rsidR="00F61FA2">
        <w:rPr>
          <w:rFonts w:ascii="Verdana" w:hAnsi="Verdana"/>
          <w:color w:val="000000"/>
        </w:rPr>
        <w:t xml:space="preserve"> </w:t>
      </w:r>
      <w:r w:rsidR="00E37AC5">
        <w:rPr>
          <w:rFonts w:ascii="Verdana" w:hAnsi="Verdana"/>
          <w:color w:val="000000"/>
        </w:rPr>
        <w:t>πέντε</w:t>
      </w:r>
      <w:r w:rsidR="00C20366" w:rsidRPr="00A61430">
        <w:rPr>
          <w:rFonts w:ascii="Verdana" w:hAnsi="Verdana"/>
          <w:color w:val="000000"/>
        </w:rPr>
        <w:t xml:space="preserve"> έτη ενωρίτερα (τέλος 2014), το συνολικό απόθεμα </w:t>
      </w:r>
      <w:proofErr w:type="spellStart"/>
      <w:r w:rsidR="00C20366" w:rsidRPr="00A61430">
        <w:rPr>
          <w:rFonts w:ascii="Verdana" w:hAnsi="Verdana"/>
          <w:color w:val="000000"/>
        </w:rPr>
        <w:t>αζερικών</w:t>
      </w:r>
      <w:proofErr w:type="spellEnd"/>
      <w:r w:rsidR="00C20366" w:rsidRPr="00A61430">
        <w:rPr>
          <w:rFonts w:ascii="Verdana" w:hAnsi="Verdana"/>
          <w:color w:val="000000"/>
        </w:rPr>
        <w:t xml:space="preserve"> ΞΑΕ</w:t>
      </w:r>
      <w:r w:rsidR="00C20366" w:rsidRPr="00A61430">
        <w:rPr>
          <w:rFonts w:ascii="Verdana" w:hAnsi="Verdana"/>
        </w:rPr>
        <w:t xml:space="preserve"> στο εξωτερικό ανερχόταν σε 12.235</w:t>
      </w:r>
      <w:r w:rsidR="00E94547">
        <w:rPr>
          <w:rFonts w:ascii="Verdana" w:hAnsi="Verdana"/>
        </w:rPr>
        <w:t xml:space="preserve"> εκ $, επομένως αυξήθηκε κατά </w:t>
      </w:r>
      <w:r w:rsidR="00F61FA2">
        <w:rPr>
          <w:rFonts w:ascii="Verdana" w:hAnsi="Verdana"/>
        </w:rPr>
        <w:t>13,9</w:t>
      </w:r>
      <w:r w:rsidR="00C20366" w:rsidRPr="00A61430">
        <w:rPr>
          <w:rFonts w:ascii="Verdana" w:hAnsi="Verdana"/>
        </w:rPr>
        <w:t xml:space="preserve"> δις $. </w:t>
      </w:r>
      <w:r w:rsidR="00C20366" w:rsidRPr="00E94547">
        <w:rPr>
          <w:rFonts w:ascii="Verdana" w:hAnsi="Verdana"/>
          <w:b/>
        </w:rPr>
        <w:t xml:space="preserve">Ο γεωπολιτικής σημασίας </w:t>
      </w:r>
      <w:r w:rsidR="00C20366" w:rsidRPr="00E94547">
        <w:rPr>
          <w:rFonts w:ascii="Verdana" w:hAnsi="Verdana"/>
          <w:b/>
          <w:i/>
          <w:iCs/>
        </w:rPr>
        <w:t>«Νότιος Διάδρομος Φ/Α»</w:t>
      </w:r>
      <w:r w:rsidR="00C20366" w:rsidRPr="00E94547">
        <w:rPr>
          <w:rFonts w:ascii="Verdana" w:hAnsi="Verdana"/>
          <w:b/>
        </w:rPr>
        <w:t xml:space="preserve"> απορροφά τον κύριο όγκο των </w:t>
      </w:r>
      <w:proofErr w:type="spellStart"/>
      <w:r w:rsidR="00C20366" w:rsidRPr="00E94547">
        <w:rPr>
          <w:rFonts w:ascii="Verdana" w:hAnsi="Verdana"/>
          <w:b/>
        </w:rPr>
        <w:t>αζερικών</w:t>
      </w:r>
      <w:proofErr w:type="spellEnd"/>
      <w:r w:rsidR="00C20366" w:rsidRPr="00E94547">
        <w:rPr>
          <w:rFonts w:ascii="Verdana" w:hAnsi="Verdana"/>
          <w:b/>
        </w:rPr>
        <w:t xml:space="preserve"> ΞΑΕ κατά την παρούσα περίοδο και περιλαμβάνει, βεβαίως, και τον αγωγό ΤΑΡ στην Ελλάδα, επί του οποίου η </w:t>
      </w:r>
      <w:r w:rsidR="00C20366" w:rsidRPr="00E94547">
        <w:rPr>
          <w:rFonts w:ascii="Verdana" w:hAnsi="Verdana"/>
          <w:b/>
          <w:color w:val="000000"/>
          <w:lang w:val="en-US"/>
        </w:rPr>
        <w:t>SOCAR</w:t>
      </w:r>
      <w:r w:rsidR="00C20366" w:rsidRPr="00E94547">
        <w:rPr>
          <w:rFonts w:ascii="Verdana" w:hAnsi="Verdana"/>
          <w:b/>
        </w:rPr>
        <w:t xml:space="preserve"> κατέχει μερίδιο 20%.       </w:t>
      </w:r>
    </w:p>
    <w:p w:rsidR="005B201F" w:rsidRDefault="00C20366" w:rsidP="00A61430">
      <w:pPr>
        <w:ind w:right="-38"/>
        <w:jc w:val="both"/>
        <w:rPr>
          <w:rStyle w:val="4Char"/>
          <w:rFonts w:ascii="Verdana" w:hAnsi="Verdana"/>
          <w:i w:val="0"/>
          <w:color w:val="auto"/>
        </w:rPr>
      </w:pPr>
      <w:bookmarkStart w:id="19" w:name="_Toc392595500"/>
      <w:r w:rsidRPr="00E94547">
        <w:rPr>
          <w:rStyle w:val="4Char"/>
          <w:rFonts w:ascii="Verdana" w:hAnsi="Verdana"/>
          <w:i w:val="0"/>
          <w:color w:val="auto"/>
        </w:rPr>
        <w:lastRenderedPageBreak/>
        <w:t xml:space="preserve"> </w:t>
      </w:r>
    </w:p>
    <w:p w:rsidR="00C20366" w:rsidRPr="00E94547" w:rsidRDefault="00E94547" w:rsidP="00A61430">
      <w:pPr>
        <w:ind w:right="-38"/>
        <w:jc w:val="both"/>
        <w:rPr>
          <w:rFonts w:ascii="Verdana" w:hAnsi="Verdana"/>
          <w:i/>
        </w:rPr>
      </w:pPr>
      <w:r>
        <w:rPr>
          <w:rStyle w:val="4Char"/>
          <w:rFonts w:ascii="Verdana" w:hAnsi="Verdana"/>
          <w:i w:val="0"/>
          <w:color w:val="auto"/>
        </w:rPr>
        <w:t xml:space="preserve">5.2 </w:t>
      </w:r>
      <w:r w:rsidR="00C20366" w:rsidRPr="00E94547">
        <w:rPr>
          <w:rStyle w:val="4Char"/>
          <w:rFonts w:ascii="Verdana" w:hAnsi="Verdana"/>
          <w:i w:val="0"/>
          <w:color w:val="auto"/>
        </w:rPr>
        <w:t>Επενδυτικό κλίμα</w:t>
      </w:r>
      <w:bookmarkEnd w:id="19"/>
    </w:p>
    <w:p w:rsidR="004A5731" w:rsidRDefault="00C20366" w:rsidP="003F5585">
      <w:pPr>
        <w:jc w:val="both"/>
        <w:rPr>
          <w:rFonts w:ascii="Verdana" w:hAnsi="Verdana"/>
        </w:rPr>
      </w:pPr>
      <w:r w:rsidRPr="00A61430">
        <w:rPr>
          <w:rFonts w:ascii="Verdana" w:hAnsi="Verdana"/>
        </w:rPr>
        <w:t>Το Αζερμπαϊτζάν έχει υπογράψει τη Σύμβαση της Παγκόσμιας Τράπεζας γι</w:t>
      </w:r>
      <w:r w:rsidR="00B04A5C">
        <w:rPr>
          <w:rFonts w:ascii="Verdana" w:hAnsi="Verdana"/>
        </w:rPr>
        <w:t>α την επίλυση των διαφορών από ε</w:t>
      </w:r>
      <w:r w:rsidRPr="00A61430">
        <w:rPr>
          <w:rFonts w:ascii="Verdana" w:hAnsi="Verdana"/>
        </w:rPr>
        <w:t>πενδύσεις μεταξύ Κρατών και Υπηκόων Άλλων Κρατών και είναι μέλος της Πολυμερούς Συμφωνίας του 1988 για την Εγγύηση Επενδύσεων (</w:t>
      </w:r>
      <w:r w:rsidRPr="00A61430">
        <w:rPr>
          <w:rFonts w:ascii="Verdana" w:hAnsi="Verdana"/>
          <w:lang w:val="en-US"/>
        </w:rPr>
        <w:t>MIGA</w:t>
      </w:r>
      <w:r w:rsidRPr="00A61430">
        <w:rPr>
          <w:rFonts w:ascii="Verdana" w:hAnsi="Verdana"/>
        </w:rPr>
        <w:t xml:space="preserve">),  συμμετέχει δε  και σε άλλες διεθνείς συμφωνίες, καθώς και στο Διαιτητικό Δικαστήριο των Χωρών ΚΑΚ. </w:t>
      </w:r>
    </w:p>
    <w:p w:rsidR="003F5585" w:rsidRDefault="003F5585" w:rsidP="003F5585">
      <w:pPr>
        <w:jc w:val="both"/>
        <w:rPr>
          <w:rFonts w:ascii="Verdana" w:hAnsi="Verdana"/>
        </w:rPr>
      </w:pPr>
      <w:r w:rsidRPr="00E47DA6">
        <w:rPr>
          <w:rFonts w:ascii="Verdana" w:hAnsi="Verdana"/>
        </w:rPr>
        <w:t>Σύμφωνα με</w:t>
      </w:r>
      <w:r w:rsidR="00E47DA6" w:rsidRPr="00E47DA6">
        <w:rPr>
          <w:rFonts w:ascii="Verdana" w:hAnsi="Verdana"/>
        </w:rPr>
        <w:t xml:space="preserve"> την τελευταία (για το έτος 2020</w:t>
      </w:r>
      <w:r w:rsidRPr="00E47DA6">
        <w:rPr>
          <w:rFonts w:ascii="Verdana" w:hAnsi="Verdana"/>
        </w:rPr>
        <w:t>, με βάση την επικρατ</w:t>
      </w:r>
      <w:r w:rsidR="00E47DA6" w:rsidRPr="00E47DA6">
        <w:rPr>
          <w:rFonts w:ascii="Verdana" w:hAnsi="Verdana"/>
        </w:rPr>
        <w:t xml:space="preserve">ούσα κατάσταση </w:t>
      </w:r>
      <w:r w:rsidR="00E47DA6">
        <w:rPr>
          <w:rFonts w:ascii="Verdana" w:hAnsi="Verdana"/>
        </w:rPr>
        <w:t xml:space="preserve">το </w:t>
      </w:r>
      <w:r w:rsidR="00E47DA6" w:rsidRPr="00E47DA6">
        <w:rPr>
          <w:rFonts w:ascii="Verdana" w:hAnsi="Verdana"/>
        </w:rPr>
        <w:t>2019</w:t>
      </w:r>
      <w:r w:rsidRPr="00E47DA6">
        <w:rPr>
          <w:rFonts w:ascii="Verdana" w:hAnsi="Verdana"/>
        </w:rPr>
        <w:t xml:space="preserve">) ετήσια Έκθεση </w:t>
      </w:r>
      <w:r w:rsidRPr="00E47DA6">
        <w:rPr>
          <w:rFonts w:ascii="Verdana" w:hAnsi="Verdana"/>
          <w:b/>
          <w:bCs/>
          <w:i/>
          <w:iCs/>
          <w:lang w:val="en-US"/>
        </w:rPr>
        <w:t>Doing</w:t>
      </w:r>
      <w:r w:rsidRPr="00E47DA6">
        <w:rPr>
          <w:rFonts w:ascii="Verdana" w:hAnsi="Verdana"/>
          <w:b/>
          <w:bCs/>
          <w:i/>
          <w:iCs/>
        </w:rPr>
        <w:t xml:space="preserve"> </w:t>
      </w:r>
      <w:r w:rsidRPr="00E47DA6">
        <w:rPr>
          <w:rFonts w:ascii="Verdana" w:hAnsi="Verdana"/>
          <w:b/>
          <w:bCs/>
          <w:i/>
          <w:iCs/>
          <w:lang w:val="en-US"/>
        </w:rPr>
        <w:t>Business</w:t>
      </w:r>
      <w:r w:rsidRPr="00E47DA6">
        <w:rPr>
          <w:rFonts w:ascii="Verdana" w:hAnsi="Verdana"/>
        </w:rPr>
        <w:t xml:space="preserve"> της Παγκόσμιας Τράπεζας, το επιχειρηματικό κλίμα στο Αζερμπαϊτζάν - με βάση τα συγκεκριμένα μεθοδολογικά κριτήρια των συντακτών της Έκθεσης- </w:t>
      </w:r>
      <w:r w:rsidR="00E47DA6" w:rsidRPr="00E70913">
        <w:rPr>
          <w:rFonts w:ascii="Verdana" w:hAnsi="Verdana"/>
          <w:b/>
        </w:rPr>
        <w:t>σημείωσε υποχώρηση στην 34</w:t>
      </w:r>
      <w:r w:rsidR="00E47DA6" w:rsidRPr="00E70913">
        <w:rPr>
          <w:rFonts w:ascii="Verdana" w:hAnsi="Verdana"/>
          <w:b/>
          <w:vertAlign w:val="superscript"/>
        </w:rPr>
        <w:t>η</w:t>
      </w:r>
      <w:r w:rsidR="00E47DA6" w:rsidRPr="00E70913">
        <w:rPr>
          <w:rFonts w:ascii="Verdana" w:hAnsi="Verdana"/>
          <w:b/>
        </w:rPr>
        <w:t xml:space="preserve"> θέση έναντι της 25</w:t>
      </w:r>
      <w:r w:rsidR="00E47DA6" w:rsidRPr="00E70913">
        <w:rPr>
          <w:rFonts w:ascii="Verdana" w:hAnsi="Verdana"/>
          <w:b/>
          <w:vertAlign w:val="superscript"/>
        </w:rPr>
        <w:t>ης</w:t>
      </w:r>
      <w:r w:rsidR="00E47DA6" w:rsidRPr="00E70913">
        <w:rPr>
          <w:rFonts w:ascii="Verdana" w:hAnsi="Verdana"/>
          <w:b/>
        </w:rPr>
        <w:t xml:space="preserve"> θέσης που κατείχε το 2018</w:t>
      </w:r>
      <w:r w:rsidR="00E47DA6">
        <w:rPr>
          <w:rFonts w:ascii="Verdana" w:hAnsi="Verdana"/>
        </w:rPr>
        <w:t xml:space="preserve"> , </w:t>
      </w:r>
      <w:r w:rsidRPr="00E47DA6">
        <w:rPr>
          <w:rFonts w:ascii="Verdana" w:hAnsi="Verdana"/>
        </w:rPr>
        <w:t xml:space="preserve">με σταθμισμένη βαθμολογία </w:t>
      </w:r>
      <w:r w:rsidR="00E70913">
        <w:rPr>
          <w:rFonts w:ascii="Verdana" w:hAnsi="Verdana"/>
        </w:rPr>
        <w:t>76</w:t>
      </w:r>
      <w:r w:rsidR="00E70913" w:rsidRPr="00E70913">
        <w:rPr>
          <w:rFonts w:ascii="Verdana" w:hAnsi="Verdana"/>
        </w:rPr>
        <w:t>,</w:t>
      </w:r>
      <w:r w:rsidR="00E47DA6">
        <w:rPr>
          <w:rFonts w:ascii="Verdana" w:hAnsi="Verdana"/>
        </w:rPr>
        <w:t>7</w:t>
      </w:r>
      <w:r w:rsidRPr="00E47DA6">
        <w:rPr>
          <w:rFonts w:ascii="Verdana" w:hAnsi="Verdana"/>
        </w:rPr>
        <w:t>/100</w:t>
      </w:r>
      <w:r w:rsidR="00E47DA6">
        <w:rPr>
          <w:rFonts w:ascii="Verdana" w:hAnsi="Verdana"/>
        </w:rPr>
        <w:t xml:space="preserve">. </w:t>
      </w:r>
      <w:r w:rsidRPr="003F5585">
        <w:rPr>
          <w:rFonts w:ascii="Verdana" w:hAnsi="Verdana"/>
        </w:rPr>
        <w:t>Ως προς τους δέκα επί μέρους δείκτες απόδοσης (</w:t>
      </w:r>
      <w:r w:rsidRPr="003F5585">
        <w:rPr>
          <w:rFonts w:ascii="Verdana" w:hAnsi="Verdana"/>
          <w:lang w:val="en-US"/>
        </w:rPr>
        <w:t>performance</w:t>
      </w:r>
      <w:r w:rsidRPr="003F5585">
        <w:rPr>
          <w:rFonts w:ascii="Verdana" w:hAnsi="Verdana"/>
        </w:rPr>
        <w:t xml:space="preserve"> </w:t>
      </w:r>
      <w:r w:rsidRPr="003F5585">
        <w:rPr>
          <w:rFonts w:ascii="Verdana" w:hAnsi="Verdana"/>
          <w:lang w:val="en-US"/>
        </w:rPr>
        <w:t>indicators</w:t>
      </w:r>
      <w:r w:rsidRPr="003F5585">
        <w:rPr>
          <w:rFonts w:ascii="Verdana" w:hAnsi="Verdana"/>
        </w:rPr>
        <w:t xml:space="preserve">), στους οποίους παραδοσιακά βασίζεται η Έκθεση, η χώρα σημειώνει </w:t>
      </w:r>
      <w:r w:rsidR="006E51B0">
        <w:rPr>
          <w:rFonts w:ascii="Verdana" w:hAnsi="Verdana"/>
        </w:rPr>
        <w:t>βελτίωση</w:t>
      </w:r>
      <w:r w:rsidRPr="003F5585">
        <w:rPr>
          <w:rFonts w:ascii="Verdana" w:hAnsi="Verdana"/>
        </w:rPr>
        <w:t xml:space="preserve"> </w:t>
      </w:r>
      <w:r w:rsidR="00E47DA6">
        <w:rPr>
          <w:rFonts w:ascii="Verdana" w:hAnsi="Verdana"/>
        </w:rPr>
        <w:t>στην ευκολία χρηματοδότησης (1</w:t>
      </w:r>
      <w:r w:rsidR="00E47DA6" w:rsidRPr="003F5585">
        <w:rPr>
          <w:rFonts w:ascii="Verdana" w:hAnsi="Verdana"/>
          <w:vertAlign w:val="superscript"/>
        </w:rPr>
        <w:t>η</w:t>
      </w:r>
      <w:r w:rsidR="00E47DA6" w:rsidRPr="003F5585">
        <w:rPr>
          <w:rFonts w:ascii="Verdana" w:hAnsi="Verdana"/>
        </w:rPr>
        <w:t xml:space="preserve"> θέση)</w:t>
      </w:r>
      <w:r w:rsidR="00E47DA6">
        <w:rPr>
          <w:rFonts w:ascii="Verdana" w:hAnsi="Verdana"/>
        </w:rPr>
        <w:t xml:space="preserve">, </w:t>
      </w:r>
      <w:r w:rsidR="00E47DA6" w:rsidRPr="003F5585">
        <w:rPr>
          <w:rFonts w:ascii="Verdana" w:hAnsi="Verdana"/>
        </w:rPr>
        <w:t>στην έναρξη επιχείρησης (9</w:t>
      </w:r>
      <w:r w:rsidR="00E47DA6" w:rsidRPr="003F5585">
        <w:rPr>
          <w:rFonts w:ascii="Verdana" w:hAnsi="Verdana"/>
          <w:vertAlign w:val="superscript"/>
        </w:rPr>
        <w:t>η</w:t>
      </w:r>
      <w:r w:rsidR="00396C22">
        <w:rPr>
          <w:rFonts w:ascii="Verdana" w:hAnsi="Verdana"/>
        </w:rPr>
        <w:t xml:space="preserve"> θέση),</w:t>
      </w:r>
      <w:r w:rsidR="00744A60">
        <w:rPr>
          <w:rFonts w:ascii="Verdana" w:hAnsi="Verdana"/>
        </w:rPr>
        <w:t xml:space="preserve"> </w:t>
      </w:r>
      <w:r w:rsidR="00396C22" w:rsidRPr="003F5585">
        <w:rPr>
          <w:rFonts w:ascii="Verdana" w:hAnsi="Verdana"/>
        </w:rPr>
        <w:t>στη δυνατότητα δικαστικής επιβολής των συμβατικών υποχρεώσεων (</w:t>
      </w:r>
      <w:r w:rsidR="00396C22">
        <w:rPr>
          <w:rFonts w:ascii="Verdana" w:hAnsi="Verdana"/>
        </w:rPr>
        <w:t>28</w:t>
      </w:r>
      <w:r w:rsidR="00396C22" w:rsidRPr="003F5585">
        <w:rPr>
          <w:rFonts w:ascii="Verdana" w:hAnsi="Verdana"/>
          <w:vertAlign w:val="superscript"/>
        </w:rPr>
        <w:t>η</w:t>
      </w:r>
      <w:r w:rsidR="00396C22" w:rsidRPr="003F5585">
        <w:rPr>
          <w:rFonts w:ascii="Verdana" w:hAnsi="Verdana"/>
        </w:rPr>
        <w:t xml:space="preserve"> θέση),</w:t>
      </w:r>
      <w:r w:rsidR="00E70913" w:rsidRPr="00E70913">
        <w:rPr>
          <w:rFonts w:ascii="Verdana" w:hAnsi="Verdana"/>
        </w:rPr>
        <w:t xml:space="preserve"> </w:t>
      </w:r>
      <w:r w:rsidR="00396C22" w:rsidRPr="003F5585">
        <w:rPr>
          <w:rFonts w:ascii="Verdana" w:hAnsi="Verdana"/>
        </w:rPr>
        <w:t>στη χορήγηση οικοδομικών αδειών από τις πολεοδομικές αρχές (</w:t>
      </w:r>
      <w:r w:rsidR="00396C22">
        <w:rPr>
          <w:rFonts w:ascii="Verdana" w:hAnsi="Verdana"/>
        </w:rPr>
        <w:t>59</w:t>
      </w:r>
      <w:r w:rsidR="00396C22" w:rsidRPr="003F5585">
        <w:rPr>
          <w:rFonts w:ascii="Verdana" w:hAnsi="Verdana"/>
          <w:vertAlign w:val="superscript"/>
        </w:rPr>
        <w:t>η</w:t>
      </w:r>
      <w:r w:rsidR="00396C22" w:rsidRPr="003F5585">
        <w:rPr>
          <w:rFonts w:ascii="Verdana" w:hAnsi="Verdana"/>
        </w:rPr>
        <w:t xml:space="preserve"> θέση)</w:t>
      </w:r>
      <w:r w:rsidR="00396C22">
        <w:rPr>
          <w:rFonts w:ascii="Verdana" w:hAnsi="Verdana"/>
        </w:rPr>
        <w:t xml:space="preserve"> και</w:t>
      </w:r>
      <w:r w:rsidR="00396C22" w:rsidRPr="003F5585">
        <w:rPr>
          <w:rFonts w:ascii="Verdana" w:hAnsi="Verdana"/>
        </w:rPr>
        <w:t xml:space="preserve"> στο διασυνοριακό εμπόριο (</w:t>
      </w:r>
      <w:r w:rsidR="00396C22" w:rsidRPr="003F5585">
        <w:rPr>
          <w:rFonts w:ascii="Verdana" w:hAnsi="Verdana"/>
          <w:i/>
          <w:iCs/>
        </w:rPr>
        <w:t>8</w:t>
      </w:r>
      <w:r w:rsidR="00396C22">
        <w:rPr>
          <w:rFonts w:ascii="Verdana" w:hAnsi="Verdana"/>
          <w:i/>
          <w:iCs/>
        </w:rPr>
        <w:t>3</w:t>
      </w:r>
      <w:r w:rsidR="00396C22" w:rsidRPr="003F5585">
        <w:rPr>
          <w:rFonts w:ascii="Verdana" w:hAnsi="Verdana"/>
          <w:i/>
          <w:iCs/>
          <w:vertAlign w:val="superscript"/>
        </w:rPr>
        <w:t xml:space="preserve">η </w:t>
      </w:r>
      <w:r w:rsidR="00396C22" w:rsidRPr="003F5585">
        <w:rPr>
          <w:rFonts w:ascii="Verdana" w:hAnsi="Verdana"/>
          <w:i/>
          <w:iCs/>
        </w:rPr>
        <w:t>θέση)</w:t>
      </w:r>
      <w:r w:rsidR="00396C22">
        <w:rPr>
          <w:rFonts w:ascii="Verdana" w:hAnsi="Verdana"/>
        </w:rPr>
        <w:t xml:space="preserve">, </w:t>
      </w:r>
      <w:r w:rsidR="00744A60">
        <w:rPr>
          <w:rFonts w:ascii="Verdana" w:hAnsi="Verdana"/>
        </w:rPr>
        <w:t>ενώ  σημειώνεται χειροτέρευση στους υπόλοιπους δείκτες:</w:t>
      </w:r>
      <w:r w:rsidR="00E47DA6" w:rsidRPr="003F5585">
        <w:rPr>
          <w:rFonts w:ascii="Verdana" w:hAnsi="Verdana"/>
        </w:rPr>
        <w:t xml:space="preserve"> </w:t>
      </w:r>
      <w:r w:rsidRPr="003F5585">
        <w:rPr>
          <w:rFonts w:ascii="Verdana" w:hAnsi="Verdana"/>
        </w:rPr>
        <w:t>στην προστασία των δικαιωμ</w:t>
      </w:r>
      <w:r w:rsidR="00744A60">
        <w:rPr>
          <w:rFonts w:ascii="Verdana" w:hAnsi="Verdana"/>
        </w:rPr>
        <w:t xml:space="preserve">άτων των μειοψηφούντων μετόχων από την </w:t>
      </w:r>
      <w:r w:rsidRPr="003F5585">
        <w:rPr>
          <w:rFonts w:ascii="Verdana" w:hAnsi="Verdana"/>
        </w:rPr>
        <w:t>2</w:t>
      </w:r>
      <w:r w:rsidRPr="003F5585">
        <w:rPr>
          <w:rFonts w:ascii="Verdana" w:hAnsi="Verdana"/>
          <w:vertAlign w:val="superscript"/>
        </w:rPr>
        <w:t>η</w:t>
      </w:r>
      <w:r w:rsidRPr="003F5585">
        <w:rPr>
          <w:rFonts w:ascii="Verdana" w:hAnsi="Verdana"/>
        </w:rPr>
        <w:t xml:space="preserve"> θέση</w:t>
      </w:r>
      <w:r w:rsidR="00744A60">
        <w:rPr>
          <w:rFonts w:ascii="Verdana" w:hAnsi="Verdana"/>
        </w:rPr>
        <w:t xml:space="preserve"> στην 105</w:t>
      </w:r>
      <w:r w:rsidR="00744A60" w:rsidRPr="00744A60">
        <w:rPr>
          <w:rFonts w:ascii="Verdana" w:hAnsi="Verdana"/>
          <w:vertAlign w:val="superscript"/>
        </w:rPr>
        <w:t>η</w:t>
      </w:r>
      <w:r w:rsidR="00744A60">
        <w:rPr>
          <w:rFonts w:ascii="Verdana" w:hAnsi="Verdana"/>
        </w:rPr>
        <w:t xml:space="preserve"> θέση</w:t>
      </w:r>
      <w:r w:rsidRPr="003F5585">
        <w:rPr>
          <w:rFonts w:ascii="Verdana" w:hAnsi="Verdana"/>
        </w:rPr>
        <w:t>, στην</w:t>
      </w:r>
      <w:r w:rsidR="00744A60">
        <w:rPr>
          <w:rFonts w:ascii="Verdana" w:hAnsi="Verdana"/>
        </w:rPr>
        <w:t xml:space="preserve"> κτήση εμπράγματων δικαιωμάτων από την </w:t>
      </w:r>
      <w:r w:rsidRPr="003F5585">
        <w:rPr>
          <w:rFonts w:ascii="Verdana" w:hAnsi="Verdana"/>
        </w:rPr>
        <w:t>17</w:t>
      </w:r>
      <w:r w:rsidRPr="003F5585">
        <w:rPr>
          <w:rFonts w:ascii="Verdana" w:hAnsi="Verdana"/>
          <w:vertAlign w:val="superscript"/>
        </w:rPr>
        <w:t>η</w:t>
      </w:r>
      <w:r w:rsidR="00744A60">
        <w:rPr>
          <w:rFonts w:ascii="Verdana" w:hAnsi="Verdana"/>
        </w:rPr>
        <w:t xml:space="preserve"> θέση στην 44η</w:t>
      </w:r>
      <w:r w:rsidR="004A5731">
        <w:rPr>
          <w:rFonts w:ascii="Verdana" w:hAnsi="Verdana"/>
        </w:rPr>
        <w:t xml:space="preserve">, </w:t>
      </w:r>
      <w:r w:rsidR="00744A60">
        <w:rPr>
          <w:rFonts w:ascii="Verdana" w:hAnsi="Verdana"/>
        </w:rPr>
        <w:t xml:space="preserve">στην φορολόγηση από την </w:t>
      </w:r>
      <w:r w:rsidRPr="003F5585">
        <w:rPr>
          <w:rFonts w:ascii="Verdana" w:hAnsi="Verdana"/>
        </w:rPr>
        <w:t>28</w:t>
      </w:r>
      <w:r w:rsidRPr="003F5585">
        <w:rPr>
          <w:rFonts w:ascii="Verdana" w:hAnsi="Verdana"/>
          <w:vertAlign w:val="superscript"/>
        </w:rPr>
        <w:t>η</w:t>
      </w:r>
      <w:r w:rsidRPr="003F5585">
        <w:rPr>
          <w:rFonts w:ascii="Verdana" w:hAnsi="Verdana"/>
        </w:rPr>
        <w:t xml:space="preserve"> θέση</w:t>
      </w:r>
      <w:r w:rsidR="00744A60">
        <w:rPr>
          <w:rFonts w:ascii="Verdana" w:hAnsi="Verdana"/>
        </w:rPr>
        <w:t xml:space="preserve"> στην 40</w:t>
      </w:r>
      <w:r w:rsidR="00744A60" w:rsidRPr="00744A60">
        <w:rPr>
          <w:rFonts w:ascii="Verdana" w:hAnsi="Verdana"/>
          <w:vertAlign w:val="superscript"/>
        </w:rPr>
        <w:t>η</w:t>
      </w:r>
      <w:r w:rsidR="00744A60">
        <w:rPr>
          <w:rFonts w:ascii="Verdana" w:hAnsi="Verdana"/>
        </w:rPr>
        <w:t xml:space="preserve">, </w:t>
      </w:r>
      <w:r w:rsidRPr="003F5585">
        <w:rPr>
          <w:rFonts w:ascii="Verdana" w:hAnsi="Verdana"/>
        </w:rPr>
        <w:t>στην διεκπε</w:t>
      </w:r>
      <w:r w:rsidR="00744A60">
        <w:rPr>
          <w:rFonts w:ascii="Verdana" w:hAnsi="Verdana"/>
        </w:rPr>
        <w:t>ρα</w:t>
      </w:r>
      <w:r w:rsidR="00396C22">
        <w:rPr>
          <w:rFonts w:ascii="Verdana" w:hAnsi="Verdana"/>
        </w:rPr>
        <w:t>ίωση πτωχευτικής διαδικασίας από</w:t>
      </w:r>
      <w:r w:rsidR="00744A60">
        <w:rPr>
          <w:rFonts w:ascii="Verdana" w:hAnsi="Verdana"/>
        </w:rPr>
        <w:t xml:space="preserve"> την </w:t>
      </w:r>
      <w:r w:rsidRPr="003F5585">
        <w:rPr>
          <w:rFonts w:ascii="Verdana" w:hAnsi="Verdana"/>
        </w:rPr>
        <w:t>45</w:t>
      </w:r>
      <w:r w:rsidRPr="003F5585">
        <w:rPr>
          <w:rFonts w:ascii="Verdana" w:hAnsi="Verdana"/>
          <w:vertAlign w:val="superscript"/>
        </w:rPr>
        <w:t>η</w:t>
      </w:r>
      <w:r w:rsidR="00744A60">
        <w:rPr>
          <w:rFonts w:ascii="Verdana" w:hAnsi="Verdana"/>
        </w:rPr>
        <w:t xml:space="preserve"> θέση στην 47η</w:t>
      </w:r>
      <w:r w:rsidRPr="003F5585">
        <w:rPr>
          <w:rFonts w:ascii="Verdana" w:hAnsi="Verdana"/>
        </w:rPr>
        <w:t xml:space="preserve"> </w:t>
      </w:r>
      <w:r w:rsidR="00396C22" w:rsidRPr="003F5585">
        <w:rPr>
          <w:rFonts w:ascii="Verdana" w:hAnsi="Verdana"/>
        </w:rPr>
        <w:t xml:space="preserve">και </w:t>
      </w:r>
      <w:r w:rsidRPr="003F5585">
        <w:rPr>
          <w:rFonts w:ascii="Verdana" w:hAnsi="Verdana"/>
        </w:rPr>
        <w:t xml:space="preserve">στην </w:t>
      </w:r>
      <w:r w:rsidR="00744A60">
        <w:rPr>
          <w:rFonts w:ascii="Verdana" w:hAnsi="Verdana"/>
        </w:rPr>
        <w:t xml:space="preserve">παροχή ηλεκτρικής διασύνδεσης από την </w:t>
      </w:r>
      <w:r w:rsidRPr="003F5585">
        <w:rPr>
          <w:rFonts w:ascii="Verdana" w:hAnsi="Verdana"/>
        </w:rPr>
        <w:t>74</w:t>
      </w:r>
      <w:r w:rsidRPr="003F5585">
        <w:rPr>
          <w:rFonts w:ascii="Verdana" w:hAnsi="Verdana"/>
          <w:vertAlign w:val="superscript"/>
        </w:rPr>
        <w:t xml:space="preserve">η </w:t>
      </w:r>
      <w:r w:rsidRPr="003F5585">
        <w:rPr>
          <w:rFonts w:ascii="Verdana" w:hAnsi="Verdana"/>
        </w:rPr>
        <w:t>θέση</w:t>
      </w:r>
      <w:r w:rsidR="00744A60">
        <w:rPr>
          <w:rFonts w:ascii="Verdana" w:hAnsi="Verdana"/>
        </w:rPr>
        <w:t xml:space="preserve"> στην 80η</w:t>
      </w:r>
      <w:r w:rsidRPr="003F5585">
        <w:rPr>
          <w:rFonts w:ascii="Verdana" w:hAnsi="Verdana"/>
        </w:rPr>
        <w:t xml:space="preserve"> </w:t>
      </w:r>
      <w:r w:rsidR="00396C22">
        <w:rPr>
          <w:rFonts w:ascii="Verdana" w:hAnsi="Verdana"/>
        </w:rPr>
        <w:t>.</w:t>
      </w:r>
    </w:p>
    <w:p w:rsidR="004A5731" w:rsidRPr="00713FA8" w:rsidRDefault="004A5731" w:rsidP="003F5585">
      <w:pPr>
        <w:jc w:val="both"/>
        <w:rPr>
          <w:rFonts w:ascii="Verdana" w:hAnsi="Verdana"/>
        </w:rPr>
      </w:pPr>
      <w:r>
        <w:rPr>
          <w:rFonts w:ascii="Verdana" w:hAnsi="Verdana"/>
        </w:rPr>
        <w:t>Στην εν λόγω Έκθεση παρατηρείται, ωστόσο, ότι, οι κίνδυνοι για την μακροοικονομική σταθερότητα παραμένουν σχετικά υψηλο</w:t>
      </w:r>
      <w:r w:rsidR="00713FA8">
        <w:rPr>
          <w:rFonts w:ascii="Verdana" w:hAnsi="Verdana"/>
        </w:rPr>
        <w:t>ί</w:t>
      </w:r>
      <w:r>
        <w:rPr>
          <w:rFonts w:ascii="Verdana" w:hAnsi="Verdana"/>
        </w:rPr>
        <w:t>, ενώ το χρηματοοικονομικό σύστημα εξακολουθεί να είναι αδύναμο και υπαν</w:t>
      </w:r>
      <w:r w:rsidR="006F09F7">
        <w:rPr>
          <w:rFonts w:ascii="Verdana" w:hAnsi="Verdana"/>
        </w:rPr>
        <w:t>άπτυκτο</w:t>
      </w:r>
      <w:r w:rsidR="00713FA8" w:rsidRPr="00E70913">
        <w:rPr>
          <w:rFonts w:ascii="Verdana" w:hAnsi="Verdana"/>
          <w:b/>
        </w:rPr>
        <w:t xml:space="preserve">. </w:t>
      </w:r>
      <w:r w:rsidR="002F4573" w:rsidRPr="00E70913">
        <w:rPr>
          <w:rFonts w:ascii="Verdana" w:hAnsi="Verdana"/>
          <w:b/>
        </w:rPr>
        <w:t>Οι</w:t>
      </w:r>
      <w:r w:rsidR="00713FA8" w:rsidRPr="00E70913">
        <w:rPr>
          <w:rFonts w:ascii="Verdana" w:hAnsi="Verdana"/>
          <w:b/>
        </w:rPr>
        <w:t xml:space="preserve"> διεθνείς οίκοι αξιολόγησης </w:t>
      </w:r>
      <w:r w:rsidR="00713FA8" w:rsidRPr="00E70913">
        <w:rPr>
          <w:rFonts w:ascii="Verdana" w:hAnsi="Verdana"/>
          <w:b/>
          <w:lang w:val="en-US"/>
        </w:rPr>
        <w:t>Fitch</w:t>
      </w:r>
      <w:r w:rsidR="00713FA8" w:rsidRPr="00E70913">
        <w:rPr>
          <w:rFonts w:ascii="Verdana" w:hAnsi="Verdana"/>
          <w:b/>
        </w:rPr>
        <w:t xml:space="preserve">, </w:t>
      </w:r>
      <w:r w:rsidR="00713FA8" w:rsidRPr="00E70913">
        <w:rPr>
          <w:rFonts w:ascii="Verdana" w:hAnsi="Verdana"/>
          <w:b/>
          <w:lang w:val="en-US"/>
        </w:rPr>
        <w:t>Moody</w:t>
      </w:r>
      <w:r w:rsidR="00713FA8" w:rsidRPr="00E70913">
        <w:rPr>
          <w:rFonts w:ascii="Verdana" w:hAnsi="Verdana"/>
          <w:b/>
        </w:rPr>
        <w:t>'</w:t>
      </w:r>
      <w:r w:rsidR="00713FA8" w:rsidRPr="00E70913">
        <w:rPr>
          <w:rFonts w:ascii="Verdana" w:hAnsi="Verdana"/>
          <w:b/>
          <w:lang w:val="en-US"/>
        </w:rPr>
        <w:t>s</w:t>
      </w:r>
      <w:r w:rsidR="00713FA8" w:rsidRPr="00E70913">
        <w:rPr>
          <w:rFonts w:ascii="Verdana" w:hAnsi="Verdana"/>
          <w:b/>
        </w:rPr>
        <w:t xml:space="preserve"> </w:t>
      </w:r>
      <w:r w:rsidR="00713FA8" w:rsidRPr="00E70913">
        <w:rPr>
          <w:rFonts w:ascii="Verdana" w:hAnsi="Verdana"/>
          <w:b/>
          <w:lang w:val="en-US"/>
        </w:rPr>
        <w:t>and</w:t>
      </w:r>
      <w:r w:rsidR="00713FA8" w:rsidRPr="00E70913">
        <w:rPr>
          <w:rFonts w:ascii="Verdana" w:hAnsi="Verdana"/>
          <w:b/>
        </w:rPr>
        <w:t xml:space="preserve"> </w:t>
      </w:r>
      <w:r w:rsidR="00713FA8" w:rsidRPr="00E70913">
        <w:rPr>
          <w:rFonts w:ascii="Verdana" w:hAnsi="Verdana"/>
          <w:b/>
          <w:lang w:val="en-US"/>
        </w:rPr>
        <w:t>Standard</w:t>
      </w:r>
      <w:r w:rsidR="00713FA8" w:rsidRPr="00E70913">
        <w:rPr>
          <w:rFonts w:ascii="Verdana" w:hAnsi="Verdana"/>
          <w:b/>
        </w:rPr>
        <w:t xml:space="preserve"> &amp; </w:t>
      </w:r>
      <w:r w:rsidR="00713FA8" w:rsidRPr="00E70913">
        <w:rPr>
          <w:rFonts w:ascii="Verdana" w:hAnsi="Verdana"/>
          <w:b/>
          <w:lang w:val="en-US"/>
        </w:rPr>
        <w:t>Poor</w:t>
      </w:r>
      <w:r w:rsidR="00713FA8" w:rsidRPr="00E70913">
        <w:rPr>
          <w:rFonts w:ascii="Verdana" w:hAnsi="Verdana"/>
          <w:b/>
        </w:rPr>
        <w:t>'</w:t>
      </w:r>
      <w:r w:rsidR="00713FA8" w:rsidRPr="00E70913">
        <w:rPr>
          <w:rFonts w:ascii="Verdana" w:hAnsi="Verdana"/>
          <w:b/>
          <w:lang w:val="en-US"/>
        </w:rPr>
        <w:t>s</w:t>
      </w:r>
      <w:r w:rsidR="00713FA8" w:rsidRPr="00E70913">
        <w:rPr>
          <w:rFonts w:ascii="Verdana" w:hAnsi="Verdana"/>
          <w:b/>
        </w:rPr>
        <w:t xml:space="preserve"> κατατάσσουν την χώρα στην κατηγορία</w:t>
      </w:r>
      <w:r w:rsidR="002F4573" w:rsidRPr="00E70913">
        <w:rPr>
          <w:rFonts w:ascii="Verdana" w:hAnsi="Verdana"/>
          <w:b/>
        </w:rPr>
        <w:t xml:space="preserve"> </w:t>
      </w:r>
      <w:r w:rsidR="002F4573" w:rsidRPr="00E70913">
        <w:rPr>
          <w:rFonts w:ascii="Verdana" w:hAnsi="Verdana"/>
          <w:b/>
          <w:lang w:val="en-US"/>
        </w:rPr>
        <w:t>BB</w:t>
      </w:r>
      <w:r w:rsidR="002F4573" w:rsidRPr="00E70913">
        <w:rPr>
          <w:rFonts w:ascii="Verdana" w:hAnsi="Verdana"/>
          <w:b/>
        </w:rPr>
        <w:t xml:space="preserve">+ </w:t>
      </w:r>
      <w:r w:rsidR="002F4573" w:rsidRPr="00E70913">
        <w:rPr>
          <w:rFonts w:ascii="Verdana" w:hAnsi="Verdana"/>
          <w:b/>
          <w:lang w:val="en-US"/>
        </w:rPr>
        <w:t>stable</w:t>
      </w:r>
      <w:r w:rsidR="002F4573" w:rsidRPr="00E70913">
        <w:rPr>
          <w:rFonts w:ascii="Verdana" w:hAnsi="Verdana"/>
          <w:b/>
        </w:rPr>
        <w:t xml:space="preserve"> </w:t>
      </w:r>
      <w:r w:rsidR="002F4573" w:rsidRPr="00E70913">
        <w:rPr>
          <w:rFonts w:ascii="Verdana" w:hAnsi="Verdana"/>
          <w:b/>
          <w:lang w:val="en-US"/>
        </w:rPr>
        <w:t>outlook</w:t>
      </w:r>
      <w:r w:rsidR="00713FA8" w:rsidRPr="00E70913">
        <w:rPr>
          <w:rFonts w:ascii="Verdana" w:hAnsi="Verdana"/>
          <w:b/>
        </w:rPr>
        <w:t>,</w:t>
      </w:r>
      <w:r w:rsidR="00713FA8">
        <w:rPr>
          <w:rFonts w:ascii="Verdana" w:hAnsi="Verdana"/>
        </w:rPr>
        <w:t xml:space="preserve"> </w:t>
      </w:r>
      <w:r w:rsidR="002F4573">
        <w:rPr>
          <w:rFonts w:ascii="Verdana" w:hAnsi="Verdana"/>
        </w:rPr>
        <w:t>η αναμενόμενη προσέλκυση επενδύσεων, ωστόσο,</w:t>
      </w:r>
      <w:r w:rsidR="002F4573" w:rsidRPr="002F4573">
        <w:rPr>
          <w:rFonts w:ascii="Verdana" w:hAnsi="Verdana"/>
        </w:rPr>
        <w:t xml:space="preserve"> </w:t>
      </w:r>
      <w:r w:rsidR="002F4573">
        <w:rPr>
          <w:rFonts w:ascii="Verdana" w:hAnsi="Verdana"/>
        </w:rPr>
        <w:t>δεν ήταν η αναμενόμενη</w:t>
      </w:r>
      <w:r w:rsidR="00713FA8">
        <w:rPr>
          <w:rFonts w:ascii="Verdana" w:hAnsi="Verdana"/>
        </w:rPr>
        <w:t xml:space="preserve">, αφού οι μεταρρυθμιστικές </w:t>
      </w:r>
      <w:r w:rsidR="002F4573">
        <w:rPr>
          <w:rFonts w:ascii="Verdana" w:hAnsi="Verdana"/>
        </w:rPr>
        <w:t xml:space="preserve">παρεμβάσεις </w:t>
      </w:r>
      <w:r w:rsidR="00713FA8">
        <w:rPr>
          <w:rFonts w:ascii="Verdana" w:hAnsi="Verdana"/>
        </w:rPr>
        <w:t xml:space="preserve"> </w:t>
      </w:r>
      <w:r w:rsidR="002F4573">
        <w:rPr>
          <w:rFonts w:ascii="Verdana" w:hAnsi="Verdana"/>
        </w:rPr>
        <w:t>αποδεικνύονται στη πράξη</w:t>
      </w:r>
      <w:r w:rsidR="00713FA8">
        <w:rPr>
          <w:rFonts w:ascii="Verdana" w:hAnsi="Verdana"/>
        </w:rPr>
        <w:t xml:space="preserve"> ανεπαρκείς.</w:t>
      </w:r>
    </w:p>
    <w:p w:rsidR="00E70913" w:rsidRPr="0006405D" w:rsidRDefault="00C20366" w:rsidP="00E70913">
      <w:pPr>
        <w:jc w:val="both"/>
        <w:rPr>
          <w:rFonts w:ascii="Verdana" w:hAnsi="Verdana"/>
        </w:rPr>
      </w:pPr>
      <w:r w:rsidRPr="00A61430">
        <w:rPr>
          <w:rFonts w:ascii="Verdana" w:hAnsi="Verdana"/>
        </w:rPr>
        <w:t xml:space="preserve">Γενικά, η μετάβαση του Αζερμπαϊτζάν από μια πλήρως κατευθυνόμενη οικονομία της σοβιετικής περιόδου προς μια ελεύθερη </w:t>
      </w:r>
      <w:r w:rsidRPr="00A00F37">
        <w:rPr>
          <w:rFonts w:ascii="Verdana" w:hAnsi="Verdana"/>
          <w:iCs/>
        </w:rPr>
        <w:t>οικονομία της αγοράς</w:t>
      </w:r>
      <w:r w:rsidRPr="00A61430">
        <w:rPr>
          <w:rFonts w:ascii="Verdana" w:hAnsi="Verdana"/>
        </w:rPr>
        <w:t xml:space="preserve"> οδήγησε, συχνά, </w:t>
      </w:r>
      <w:r w:rsidR="006F09F7">
        <w:rPr>
          <w:rFonts w:ascii="Verdana" w:hAnsi="Verdana"/>
        </w:rPr>
        <w:t xml:space="preserve">σε </w:t>
      </w:r>
      <w:r w:rsidR="00A00F37" w:rsidRPr="00A61430">
        <w:rPr>
          <w:rFonts w:ascii="Verdana" w:hAnsi="Verdana"/>
        </w:rPr>
        <w:t>αρνητικά φαινό</w:t>
      </w:r>
      <w:r w:rsidR="006F09F7">
        <w:rPr>
          <w:rFonts w:ascii="Verdana" w:hAnsi="Verdana"/>
        </w:rPr>
        <w:t xml:space="preserve">μενα, </w:t>
      </w:r>
      <w:r w:rsidR="00A00F37" w:rsidRPr="00A61430">
        <w:rPr>
          <w:rFonts w:ascii="Verdana" w:hAnsi="Verdana"/>
        </w:rPr>
        <w:t>που συνόδευσαν την αλλαγή του κοινωνικού και οικονομικού συστήματος</w:t>
      </w:r>
      <w:r w:rsidR="006F09F7">
        <w:rPr>
          <w:rFonts w:ascii="Verdana" w:hAnsi="Verdana"/>
        </w:rPr>
        <w:t xml:space="preserve"> και εξακολουθούν να χαρακτηρίζουν την </w:t>
      </w:r>
      <w:r w:rsidR="00A00F37" w:rsidRPr="00A61430">
        <w:rPr>
          <w:rFonts w:ascii="Verdana" w:hAnsi="Verdana"/>
        </w:rPr>
        <w:t>χώρα</w:t>
      </w:r>
      <w:r w:rsidR="006F09F7">
        <w:rPr>
          <w:rFonts w:ascii="Verdana" w:hAnsi="Verdana"/>
        </w:rPr>
        <w:t xml:space="preserve">, όπως η </w:t>
      </w:r>
      <w:r w:rsidR="00713FA8">
        <w:rPr>
          <w:rFonts w:ascii="Verdana" w:hAnsi="Verdana"/>
        </w:rPr>
        <w:t xml:space="preserve">υιοθέτηση ασαφών και αλληλοσυγκρουόμενων νόμων, </w:t>
      </w:r>
      <w:r w:rsidR="006F09F7">
        <w:rPr>
          <w:rFonts w:ascii="Verdana" w:hAnsi="Verdana"/>
        </w:rPr>
        <w:t xml:space="preserve">η </w:t>
      </w:r>
      <w:r w:rsidR="00713FA8">
        <w:rPr>
          <w:rFonts w:ascii="Verdana" w:hAnsi="Verdana"/>
        </w:rPr>
        <w:t>συνεχή</w:t>
      </w:r>
      <w:r w:rsidR="006F09F7">
        <w:rPr>
          <w:rFonts w:ascii="Verdana" w:hAnsi="Verdana"/>
        </w:rPr>
        <w:t>ς</w:t>
      </w:r>
      <w:r w:rsidRPr="00A61430">
        <w:rPr>
          <w:rFonts w:ascii="Verdana" w:hAnsi="Verdana"/>
        </w:rPr>
        <w:t xml:space="preserve"> και ασυν</w:t>
      </w:r>
      <w:r w:rsidR="006F09F7">
        <w:rPr>
          <w:rFonts w:ascii="Verdana" w:hAnsi="Verdana"/>
        </w:rPr>
        <w:t xml:space="preserve">τόνιστη αλλαγή της νομοθεσίας, η </w:t>
      </w:r>
      <w:r w:rsidR="00A00F37">
        <w:rPr>
          <w:rFonts w:ascii="Verdana" w:hAnsi="Verdana"/>
        </w:rPr>
        <w:t>έλλειψη</w:t>
      </w:r>
      <w:r w:rsidRPr="00A61430">
        <w:rPr>
          <w:rFonts w:ascii="Verdana" w:hAnsi="Verdana"/>
        </w:rPr>
        <w:t xml:space="preserve"> προσήκουσα</w:t>
      </w:r>
      <w:r w:rsidR="00A00F37">
        <w:rPr>
          <w:rFonts w:ascii="Verdana" w:hAnsi="Verdana"/>
        </w:rPr>
        <w:t>ς</w:t>
      </w:r>
      <w:r w:rsidRPr="00A61430">
        <w:rPr>
          <w:rFonts w:ascii="Verdana" w:hAnsi="Verdana"/>
        </w:rPr>
        <w:t xml:space="preserve"> ερμηνεία</w:t>
      </w:r>
      <w:r w:rsidR="00A00F37">
        <w:rPr>
          <w:rFonts w:ascii="Verdana" w:hAnsi="Verdana"/>
        </w:rPr>
        <w:t>ς</w:t>
      </w:r>
      <w:r w:rsidRPr="00A61430">
        <w:rPr>
          <w:rFonts w:ascii="Verdana" w:hAnsi="Verdana"/>
        </w:rPr>
        <w:t xml:space="preserve"> και εφαρμογή</w:t>
      </w:r>
      <w:r w:rsidR="00A00F37">
        <w:rPr>
          <w:rFonts w:ascii="Verdana" w:hAnsi="Verdana"/>
        </w:rPr>
        <w:t>ς</w:t>
      </w:r>
      <w:r w:rsidRPr="00A61430">
        <w:rPr>
          <w:rFonts w:ascii="Verdana" w:hAnsi="Verdana"/>
        </w:rPr>
        <w:t xml:space="preserve"> των διεθνών συμφωνιών,</w:t>
      </w:r>
      <w:r w:rsidR="00A00F37">
        <w:rPr>
          <w:rFonts w:ascii="Verdana" w:hAnsi="Verdana"/>
        </w:rPr>
        <w:t xml:space="preserve"> </w:t>
      </w:r>
      <w:r w:rsidR="006F09F7">
        <w:rPr>
          <w:rFonts w:ascii="Verdana" w:hAnsi="Verdana"/>
        </w:rPr>
        <w:t xml:space="preserve">η </w:t>
      </w:r>
      <w:r w:rsidR="002F4573">
        <w:rPr>
          <w:rFonts w:ascii="Verdana" w:hAnsi="Verdana"/>
        </w:rPr>
        <w:t>ύπαρξη</w:t>
      </w:r>
      <w:r w:rsidRPr="00A61430">
        <w:rPr>
          <w:rFonts w:ascii="Verdana" w:hAnsi="Verdana"/>
        </w:rPr>
        <w:t xml:space="preserve"> </w:t>
      </w:r>
      <w:r w:rsidR="00A00F37">
        <w:rPr>
          <w:rFonts w:ascii="Verdana" w:hAnsi="Verdana"/>
        </w:rPr>
        <w:t xml:space="preserve">ισχυρής </w:t>
      </w:r>
      <w:r w:rsidRPr="00A61430">
        <w:rPr>
          <w:rFonts w:ascii="Verdana" w:hAnsi="Verdana"/>
        </w:rPr>
        <w:t xml:space="preserve">γραφειοκρατίας, </w:t>
      </w:r>
      <w:r w:rsidR="006F09F7">
        <w:rPr>
          <w:rFonts w:ascii="Verdana" w:hAnsi="Verdana"/>
        </w:rPr>
        <w:t>η</w:t>
      </w:r>
      <w:r w:rsidR="00A00F37">
        <w:rPr>
          <w:rFonts w:ascii="Verdana" w:hAnsi="Verdana"/>
        </w:rPr>
        <w:t xml:space="preserve"> έλλειψη διαφάνειας και </w:t>
      </w:r>
      <w:r w:rsidR="006F09F7">
        <w:rPr>
          <w:rFonts w:ascii="Verdana" w:hAnsi="Verdana"/>
        </w:rPr>
        <w:t xml:space="preserve">η </w:t>
      </w:r>
      <w:r w:rsidRPr="00A61430">
        <w:rPr>
          <w:rFonts w:ascii="Verdana" w:hAnsi="Verdana"/>
        </w:rPr>
        <w:t>διαφθορά στη δημόσια διοίκηση</w:t>
      </w:r>
      <w:r w:rsidR="00A00F37">
        <w:rPr>
          <w:rFonts w:ascii="Verdana" w:hAnsi="Verdana"/>
        </w:rPr>
        <w:t>.</w:t>
      </w:r>
      <w:r w:rsidRPr="00A61430">
        <w:rPr>
          <w:rFonts w:ascii="Verdana" w:hAnsi="Verdana"/>
        </w:rPr>
        <w:t xml:space="preserve"> Παράλληλα,</w:t>
      </w:r>
      <w:r w:rsidR="005B3A7D">
        <w:rPr>
          <w:rFonts w:ascii="Verdana" w:hAnsi="Verdana"/>
        </w:rPr>
        <w:t xml:space="preserve"> η απονομή δικαιοσύνης και</w:t>
      </w:r>
      <w:r w:rsidR="005B3A7D" w:rsidRPr="00A61430">
        <w:rPr>
          <w:rFonts w:ascii="Verdana" w:hAnsi="Verdana"/>
        </w:rPr>
        <w:t xml:space="preserve"> </w:t>
      </w:r>
      <w:r w:rsidRPr="00A61430">
        <w:rPr>
          <w:rFonts w:ascii="Verdana" w:hAnsi="Verdana"/>
        </w:rPr>
        <w:t xml:space="preserve">οι δικονομικές διαδικασίες είναι μακροχρόνιες, δαπανηρές και με αμφίβολα αποτελέσματα. </w:t>
      </w:r>
    </w:p>
    <w:p w:rsidR="009D61BC" w:rsidRPr="009D61BC" w:rsidRDefault="009D61BC" w:rsidP="00E70913">
      <w:pPr>
        <w:jc w:val="center"/>
        <w:rPr>
          <w:rFonts w:ascii="Verdana" w:hAnsi="Verdana" w:cs="Arial"/>
          <w:color w:val="002060"/>
          <w:sz w:val="32"/>
          <w:szCs w:val="32"/>
        </w:rPr>
      </w:pPr>
      <w:r w:rsidRPr="009D61BC">
        <w:rPr>
          <w:rFonts w:ascii="Verdana" w:hAnsi="Verdana" w:cs="Arial"/>
          <w:b/>
          <w:color w:val="002060"/>
          <w:sz w:val="32"/>
          <w:szCs w:val="32"/>
        </w:rPr>
        <w:lastRenderedPageBreak/>
        <w:t>ΚΕΦΑΛΑΙΟ Γ΄</w:t>
      </w:r>
    </w:p>
    <w:tbl>
      <w:tblPr>
        <w:tblStyle w:val="a9"/>
        <w:tblW w:w="0" w:type="auto"/>
        <w:tblLook w:val="04A0" w:firstRow="1" w:lastRow="0" w:firstColumn="1" w:lastColumn="0" w:noHBand="0" w:noVBand="1"/>
      </w:tblPr>
      <w:tblGrid>
        <w:gridCol w:w="9016"/>
      </w:tblGrid>
      <w:tr w:rsidR="009D61BC" w:rsidTr="0098295A">
        <w:tc>
          <w:tcPr>
            <w:tcW w:w="9242" w:type="dxa"/>
            <w:shd w:val="clear" w:color="auto" w:fill="DDD9C3" w:themeFill="background2" w:themeFillShade="E6"/>
          </w:tcPr>
          <w:p w:rsidR="009D61BC" w:rsidRDefault="009D61BC" w:rsidP="0098295A">
            <w:pPr>
              <w:jc w:val="center"/>
              <w:rPr>
                <w:rFonts w:ascii="Verdana" w:hAnsi="Verdana" w:cs="Arial"/>
              </w:rPr>
            </w:pPr>
            <w:r w:rsidRPr="009D61BC">
              <w:rPr>
                <w:rFonts w:ascii="Verdana" w:hAnsi="Verdana" w:cs="Arial"/>
                <w:b/>
                <w:sz w:val="28"/>
                <w:szCs w:val="28"/>
              </w:rPr>
              <w:t>ΟΙΚΟΝΟΜΙΚΕΣ ΣΧΕΣΕΙΣ ΕΛΛΑΔΟΣ- ΑΖΕΡΜΠΑΪΤΖΑΝ</w:t>
            </w:r>
          </w:p>
        </w:tc>
      </w:tr>
    </w:tbl>
    <w:p w:rsidR="009D61BC" w:rsidRDefault="009D61BC" w:rsidP="009D61BC">
      <w:pPr>
        <w:jc w:val="both"/>
        <w:rPr>
          <w:rFonts w:ascii="Verdana" w:hAnsi="Verdana" w:cs="Arial"/>
        </w:rPr>
      </w:pPr>
    </w:p>
    <w:p w:rsidR="009D61BC" w:rsidRDefault="00087891" w:rsidP="009D61BC">
      <w:pPr>
        <w:jc w:val="both"/>
        <w:rPr>
          <w:rFonts w:ascii="Verdana" w:hAnsi="Verdana" w:cs="Arial"/>
          <w:b/>
          <w:sz w:val="24"/>
          <w:szCs w:val="24"/>
        </w:rPr>
      </w:pPr>
      <w:r>
        <w:rPr>
          <w:rFonts w:ascii="Verdana" w:hAnsi="Verdana" w:cs="Arial"/>
          <w:b/>
          <w:sz w:val="24"/>
          <w:szCs w:val="24"/>
        </w:rPr>
        <w:t>1</w:t>
      </w:r>
      <w:r w:rsidR="009D61BC" w:rsidRPr="00EF6613">
        <w:rPr>
          <w:rFonts w:ascii="Verdana" w:hAnsi="Verdana" w:cs="Arial"/>
          <w:b/>
          <w:sz w:val="24"/>
          <w:szCs w:val="24"/>
        </w:rPr>
        <w:t>. ΓΕΝΙΚΑ</w:t>
      </w:r>
    </w:p>
    <w:p w:rsidR="009D61BC" w:rsidRPr="00EF6613" w:rsidRDefault="009D61BC" w:rsidP="009D61BC">
      <w:pPr>
        <w:jc w:val="both"/>
        <w:rPr>
          <w:rFonts w:ascii="Verdana" w:hAnsi="Verdana" w:cs="Arial"/>
          <w:lang w:val="hr-HR"/>
        </w:rPr>
      </w:pPr>
      <w:r w:rsidRPr="00EF6613">
        <w:rPr>
          <w:rFonts w:ascii="Verdana" w:hAnsi="Verdana" w:cs="Arial"/>
        </w:rPr>
        <w:t>Σύμφωνα με τα ετήσια στοιχεία της ΕΛΣΤΑΤ οι εμπορικές συναλλαγές Ε</w:t>
      </w:r>
      <w:r w:rsidR="00C97612">
        <w:rPr>
          <w:rFonts w:ascii="Verdana" w:hAnsi="Verdana" w:cs="Arial"/>
        </w:rPr>
        <w:t>λλάδος-Αζερμπαϊτζάν κατά το 2019</w:t>
      </w:r>
      <w:r w:rsidRPr="00EF6613">
        <w:rPr>
          <w:rFonts w:ascii="Verdana" w:hAnsi="Verdana" w:cs="Arial"/>
        </w:rPr>
        <w:t xml:space="preserve"> </w:t>
      </w:r>
      <w:proofErr w:type="spellStart"/>
      <w:r w:rsidRPr="00EF6613">
        <w:rPr>
          <w:rFonts w:ascii="Verdana" w:hAnsi="Verdana" w:cs="Arial"/>
        </w:rPr>
        <w:t>διαμορφώθησαν</w:t>
      </w:r>
      <w:proofErr w:type="spellEnd"/>
      <w:r w:rsidRPr="00EF6613">
        <w:rPr>
          <w:rFonts w:ascii="Verdana" w:hAnsi="Verdana" w:cs="Arial"/>
        </w:rPr>
        <w:t xml:space="preserve"> ως κατωτέρω</w:t>
      </w:r>
      <w:r w:rsidRPr="00EF6613">
        <w:rPr>
          <w:rFonts w:ascii="Verdana" w:hAnsi="Verdana" w:cs="Arial"/>
          <w:lang w:val="hr-HR"/>
        </w:rPr>
        <w:t>:</w:t>
      </w:r>
    </w:p>
    <w:p w:rsidR="009D61BC" w:rsidRDefault="009D61BC" w:rsidP="009D61BC">
      <w:pPr>
        <w:numPr>
          <w:ilvl w:val="0"/>
          <w:numId w:val="39"/>
        </w:numPr>
        <w:spacing w:after="0" w:line="240" w:lineRule="auto"/>
        <w:jc w:val="both"/>
        <w:rPr>
          <w:rFonts w:ascii="Verdana" w:hAnsi="Verdana" w:cs="Arial"/>
        </w:rPr>
      </w:pPr>
      <w:r w:rsidRPr="00EF6613">
        <w:rPr>
          <w:rFonts w:ascii="Verdana" w:hAnsi="Verdana" w:cs="Arial"/>
          <w:b/>
        </w:rPr>
        <w:t>Ο όγκος εμπορίου</w:t>
      </w:r>
      <w:r w:rsidRPr="00EF6613">
        <w:rPr>
          <w:rFonts w:ascii="Verdana" w:hAnsi="Verdana" w:cs="Arial"/>
        </w:rPr>
        <w:t xml:space="preserve"> ανήλθε σε </w:t>
      </w:r>
      <w:r w:rsidR="00C97612">
        <w:rPr>
          <w:rFonts w:ascii="Verdana" w:hAnsi="Verdana" w:cs="Arial"/>
        </w:rPr>
        <w:t xml:space="preserve">313,7 </w:t>
      </w:r>
      <w:r w:rsidRPr="00EF6613">
        <w:rPr>
          <w:rFonts w:ascii="Verdana" w:hAnsi="Verdana" w:cs="Arial"/>
        </w:rPr>
        <w:t xml:space="preserve">εκατ. Ευρώ  έναντι </w:t>
      </w:r>
      <w:r w:rsidR="00C97612" w:rsidRPr="00EF6613">
        <w:rPr>
          <w:rFonts w:ascii="Verdana" w:hAnsi="Verdana" w:cs="Arial"/>
        </w:rPr>
        <w:t>224,4</w:t>
      </w:r>
      <w:r w:rsidR="00C97612">
        <w:rPr>
          <w:rFonts w:ascii="Verdana" w:hAnsi="Verdana" w:cs="Arial"/>
        </w:rPr>
        <w:t xml:space="preserve"> το 2018 και </w:t>
      </w:r>
      <w:r w:rsidR="00C97612" w:rsidRPr="00EF6613">
        <w:rPr>
          <w:rFonts w:ascii="Verdana" w:hAnsi="Verdana" w:cs="Arial"/>
        </w:rPr>
        <w:t xml:space="preserve"> </w:t>
      </w:r>
      <w:r w:rsidRPr="00EF6613">
        <w:rPr>
          <w:rFonts w:ascii="Verdana" w:hAnsi="Verdana" w:cs="Arial"/>
        </w:rPr>
        <w:t xml:space="preserve">131,9  εκατ. το 2017 </w:t>
      </w:r>
    </w:p>
    <w:p w:rsidR="0098295A" w:rsidRPr="00FF2C29" w:rsidRDefault="009D61BC" w:rsidP="0098295A">
      <w:pPr>
        <w:numPr>
          <w:ilvl w:val="0"/>
          <w:numId w:val="39"/>
        </w:numPr>
        <w:spacing w:after="0" w:line="240" w:lineRule="auto"/>
        <w:jc w:val="both"/>
        <w:rPr>
          <w:rFonts w:ascii="Verdana" w:hAnsi="Verdana" w:cs="Arial"/>
        </w:rPr>
      </w:pPr>
      <w:r w:rsidRPr="00FF2C29">
        <w:rPr>
          <w:rFonts w:ascii="Verdana" w:hAnsi="Verdana" w:cs="Arial"/>
          <w:b/>
        </w:rPr>
        <w:t xml:space="preserve">Η αξία των ελληνικών εξαγωγών </w:t>
      </w:r>
      <w:r w:rsidRPr="00FF2C29">
        <w:rPr>
          <w:rFonts w:ascii="Verdana" w:hAnsi="Verdana" w:cs="Arial"/>
        </w:rPr>
        <w:t xml:space="preserve">διαμορφώθηκε  σε </w:t>
      </w:r>
      <w:r w:rsidR="00C97612">
        <w:rPr>
          <w:rFonts w:ascii="Verdana" w:hAnsi="Verdana" w:cs="Arial"/>
        </w:rPr>
        <w:t xml:space="preserve">8,2 </w:t>
      </w:r>
      <w:r w:rsidRPr="00FF2C29">
        <w:rPr>
          <w:rFonts w:ascii="Verdana" w:hAnsi="Verdana" w:cs="Arial"/>
        </w:rPr>
        <w:t xml:space="preserve">εκατ. Ευρώ περίπου </w:t>
      </w:r>
      <w:r w:rsidRPr="00C97612">
        <w:rPr>
          <w:rFonts w:ascii="Verdana" w:hAnsi="Verdana" w:cs="Arial"/>
          <w:b/>
        </w:rPr>
        <w:t xml:space="preserve">σημειώνοντας </w:t>
      </w:r>
      <w:r w:rsidR="00C97612" w:rsidRPr="00C97612">
        <w:rPr>
          <w:rFonts w:ascii="Verdana" w:hAnsi="Verdana" w:cs="Arial"/>
          <w:b/>
        </w:rPr>
        <w:t xml:space="preserve">αύξηση </w:t>
      </w:r>
      <w:r w:rsidRPr="00C97612">
        <w:rPr>
          <w:rFonts w:ascii="Verdana" w:hAnsi="Verdana" w:cs="Arial"/>
          <w:b/>
          <w:color w:val="FF0000"/>
        </w:rPr>
        <w:t xml:space="preserve"> </w:t>
      </w:r>
      <w:r w:rsidRPr="00C97612">
        <w:rPr>
          <w:rFonts w:ascii="Verdana" w:hAnsi="Verdana" w:cs="Arial"/>
          <w:b/>
        </w:rPr>
        <w:t xml:space="preserve">κατά </w:t>
      </w:r>
      <w:r w:rsidR="00C97612" w:rsidRPr="00C97612">
        <w:rPr>
          <w:rFonts w:ascii="Verdana" w:hAnsi="Verdana" w:cs="Arial"/>
          <w:b/>
        </w:rPr>
        <w:t>47,5</w:t>
      </w:r>
      <w:r w:rsidRPr="00C97612">
        <w:rPr>
          <w:rFonts w:ascii="Verdana" w:hAnsi="Verdana" w:cs="Arial"/>
          <w:b/>
        </w:rPr>
        <w:t>%</w:t>
      </w:r>
      <w:r w:rsidRPr="00FF2C29">
        <w:rPr>
          <w:rFonts w:ascii="Verdana" w:hAnsi="Verdana" w:cs="Arial"/>
        </w:rPr>
        <w:t xml:space="preserve"> έναντι του 20</w:t>
      </w:r>
      <w:r w:rsidR="00C97612">
        <w:rPr>
          <w:rFonts w:ascii="Verdana" w:hAnsi="Verdana" w:cs="Arial"/>
        </w:rPr>
        <w:t>18</w:t>
      </w:r>
      <w:r w:rsidRPr="00FF2C29">
        <w:rPr>
          <w:rFonts w:ascii="Verdana" w:hAnsi="Verdana" w:cs="Arial"/>
        </w:rPr>
        <w:t xml:space="preserve">. </w:t>
      </w:r>
    </w:p>
    <w:p w:rsidR="0098295A" w:rsidRPr="00FF2C29" w:rsidRDefault="009D61BC" w:rsidP="0098295A">
      <w:pPr>
        <w:numPr>
          <w:ilvl w:val="0"/>
          <w:numId w:val="39"/>
        </w:numPr>
        <w:spacing w:after="0" w:line="240" w:lineRule="auto"/>
        <w:jc w:val="both"/>
        <w:rPr>
          <w:rFonts w:ascii="Verdana" w:hAnsi="Verdana" w:cs="Arial"/>
        </w:rPr>
      </w:pPr>
      <w:r w:rsidRPr="00FF2C29">
        <w:rPr>
          <w:rFonts w:ascii="Verdana" w:hAnsi="Verdana" w:cs="Arial"/>
          <w:b/>
        </w:rPr>
        <w:t xml:space="preserve">Οι </w:t>
      </w:r>
      <w:proofErr w:type="spellStart"/>
      <w:r w:rsidRPr="00FF2C29">
        <w:rPr>
          <w:rFonts w:ascii="Verdana" w:hAnsi="Verdana" w:cs="Arial"/>
          <w:b/>
        </w:rPr>
        <w:t>αζέρικες</w:t>
      </w:r>
      <w:proofErr w:type="spellEnd"/>
      <w:r w:rsidRPr="00FF2C29">
        <w:rPr>
          <w:rFonts w:ascii="Verdana" w:hAnsi="Verdana" w:cs="Arial"/>
          <w:b/>
        </w:rPr>
        <w:t xml:space="preserve"> εξαγωγές προς την Ελλάδα</w:t>
      </w:r>
      <w:r w:rsidRPr="00FF2C29">
        <w:rPr>
          <w:rFonts w:ascii="Verdana" w:hAnsi="Verdana" w:cs="Arial"/>
        </w:rPr>
        <w:t xml:space="preserve"> ανήλθαν σε </w:t>
      </w:r>
      <w:r w:rsidR="00C97612">
        <w:rPr>
          <w:rFonts w:ascii="Verdana" w:hAnsi="Verdana" w:cs="Arial"/>
        </w:rPr>
        <w:t>305,6</w:t>
      </w:r>
      <w:r w:rsidRPr="00FF2C29">
        <w:rPr>
          <w:rFonts w:ascii="Verdana" w:hAnsi="Verdana" w:cs="Arial"/>
        </w:rPr>
        <w:t xml:space="preserve"> εκατ. Ευρώ, </w:t>
      </w:r>
      <w:proofErr w:type="spellStart"/>
      <w:r w:rsidRPr="00FF2C29">
        <w:rPr>
          <w:rFonts w:ascii="Verdana" w:hAnsi="Verdana" w:cs="Arial"/>
        </w:rPr>
        <w:t>αυξηθείσες</w:t>
      </w:r>
      <w:proofErr w:type="spellEnd"/>
      <w:r w:rsidRPr="00FF2C29">
        <w:rPr>
          <w:rFonts w:ascii="Verdana" w:hAnsi="Verdana" w:cs="Arial"/>
        </w:rPr>
        <w:t xml:space="preserve">  κατά </w:t>
      </w:r>
      <w:r w:rsidR="00C97612">
        <w:rPr>
          <w:rFonts w:ascii="Verdana" w:hAnsi="Verdana" w:cs="Arial"/>
        </w:rPr>
        <w:t>28,6</w:t>
      </w:r>
      <w:r w:rsidRPr="00FF2C29">
        <w:rPr>
          <w:rFonts w:ascii="Verdana" w:hAnsi="Verdana" w:cs="Arial"/>
        </w:rPr>
        <w:t xml:space="preserve">%. </w:t>
      </w:r>
    </w:p>
    <w:p w:rsidR="009D61BC" w:rsidRPr="00EF6613" w:rsidRDefault="009D61BC" w:rsidP="009D61BC">
      <w:pPr>
        <w:numPr>
          <w:ilvl w:val="0"/>
          <w:numId w:val="39"/>
        </w:numPr>
        <w:spacing w:after="0" w:line="240" w:lineRule="auto"/>
        <w:jc w:val="both"/>
        <w:rPr>
          <w:rFonts w:ascii="Verdana" w:hAnsi="Verdana" w:cs="Arial"/>
        </w:rPr>
      </w:pPr>
      <w:r w:rsidRPr="00EF6613">
        <w:rPr>
          <w:rFonts w:ascii="Verdana" w:hAnsi="Verdana" w:cs="Arial"/>
          <w:b/>
        </w:rPr>
        <w:t>Το εμπορικό ισοζύγιο</w:t>
      </w:r>
      <w:r w:rsidRPr="00EF6613">
        <w:rPr>
          <w:rFonts w:ascii="Verdana" w:hAnsi="Verdana" w:cs="Arial"/>
        </w:rPr>
        <w:t xml:space="preserve"> διαμορφώθηκε ελλειμματικά για την χώρα μας σε </w:t>
      </w:r>
      <w:r w:rsidR="00C97612">
        <w:rPr>
          <w:rFonts w:ascii="Verdana" w:hAnsi="Verdana" w:cs="Arial"/>
        </w:rPr>
        <w:t>297,4</w:t>
      </w:r>
      <w:r w:rsidRPr="00EF6613">
        <w:rPr>
          <w:rFonts w:ascii="Verdana" w:hAnsi="Verdana" w:cs="Arial"/>
        </w:rPr>
        <w:t xml:space="preserve"> εκατ. Ευρώ, αυξημένο  κατά </w:t>
      </w:r>
      <w:r w:rsidR="00C97612">
        <w:rPr>
          <w:rFonts w:ascii="Verdana" w:hAnsi="Verdana" w:cs="Arial"/>
        </w:rPr>
        <w:t>37,4 % συγκριτικά με το 2018</w:t>
      </w:r>
      <w:r w:rsidRPr="00EF6613">
        <w:rPr>
          <w:rFonts w:ascii="Verdana" w:hAnsi="Verdana" w:cs="Arial"/>
        </w:rPr>
        <w:t>.</w:t>
      </w:r>
    </w:p>
    <w:p w:rsidR="00A2458C" w:rsidRDefault="00A2458C" w:rsidP="00A2458C">
      <w:pPr>
        <w:spacing w:after="0" w:line="240" w:lineRule="auto"/>
        <w:jc w:val="both"/>
        <w:rPr>
          <w:rFonts w:ascii="Verdana" w:hAnsi="Verdana" w:cs="Arial"/>
          <w:highlight w:val="yellow"/>
        </w:rPr>
      </w:pPr>
    </w:p>
    <w:p w:rsidR="00D90016" w:rsidRDefault="00D90016" w:rsidP="00A2458C">
      <w:pPr>
        <w:spacing w:after="0" w:line="240" w:lineRule="auto"/>
        <w:jc w:val="both"/>
        <w:rPr>
          <w:rFonts w:ascii="Verdana" w:hAnsi="Verdana" w:cs="Arial"/>
          <w:highlight w:val="yellow"/>
        </w:rPr>
      </w:pPr>
    </w:p>
    <w:tbl>
      <w:tblPr>
        <w:tblStyle w:val="a9"/>
        <w:tblW w:w="0" w:type="auto"/>
        <w:tblInd w:w="198" w:type="dxa"/>
        <w:shd w:val="clear" w:color="auto" w:fill="BFBFBF" w:themeFill="background1" w:themeFillShade="BF"/>
        <w:tblLook w:val="04A0" w:firstRow="1" w:lastRow="0" w:firstColumn="1" w:lastColumn="0" w:noHBand="0" w:noVBand="1"/>
      </w:tblPr>
      <w:tblGrid>
        <w:gridCol w:w="2039"/>
        <w:gridCol w:w="2262"/>
        <w:gridCol w:w="2261"/>
        <w:gridCol w:w="2256"/>
      </w:tblGrid>
      <w:tr w:rsidR="00D90016" w:rsidTr="00D90016">
        <w:tc>
          <w:tcPr>
            <w:tcW w:w="9044" w:type="dxa"/>
            <w:gridSpan w:val="4"/>
            <w:shd w:val="clear" w:color="auto" w:fill="BFBFBF" w:themeFill="background1" w:themeFillShade="BF"/>
          </w:tcPr>
          <w:p w:rsidR="00D90016" w:rsidRPr="00EF6613" w:rsidRDefault="00D90016" w:rsidP="00D90016">
            <w:pPr>
              <w:jc w:val="center"/>
              <w:rPr>
                <w:rFonts w:ascii="Verdana" w:hAnsi="Verdana" w:cs="Arial"/>
                <w:b/>
              </w:rPr>
            </w:pPr>
            <w:r w:rsidRPr="00EF6613">
              <w:rPr>
                <w:rFonts w:ascii="Verdana" w:hAnsi="Verdana" w:cs="Arial"/>
                <w:b/>
              </w:rPr>
              <w:t>ΕΜΠΟΡΙΚΕΣ ΣΥΝΑΛΛΑΓΕΣ ΕΛΛΑΔΟΣ- ΑΖΕΡΜΠΑΪΤΖΑΝ</w:t>
            </w:r>
          </w:p>
          <w:p w:rsidR="00D90016" w:rsidRPr="00C97612" w:rsidRDefault="00D90016" w:rsidP="00D90016">
            <w:pPr>
              <w:ind w:left="720"/>
              <w:jc w:val="both"/>
              <w:rPr>
                <w:rFonts w:ascii="Verdana" w:hAnsi="Verdana" w:cs="Arial"/>
                <w:highlight w:val="yellow"/>
              </w:rPr>
            </w:pPr>
            <w:r>
              <w:rPr>
                <w:rFonts w:ascii="Verdana" w:hAnsi="Verdana" w:cs="Arial"/>
                <w:b/>
              </w:rPr>
              <w:t xml:space="preserve">                                      -</w:t>
            </w:r>
            <w:r w:rsidRPr="00A2458C">
              <w:rPr>
                <w:rFonts w:ascii="Verdana" w:hAnsi="Verdana" w:cs="Arial"/>
                <w:b/>
              </w:rPr>
              <w:t xml:space="preserve"> σε 000 Ευρώ</w:t>
            </w:r>
            <w:r>
              <w:rPr>
                <w:rFonts w:ascii="Verdana" w:hAnsi="Verdana" w:cs="Arial"/>
                <w:b/>
              </w:rPr>
              <w:t xml:space="preserve"> -</w:t>
            </w:r>
          </w:p>
          <w:p w:rsidR="00D90016" w:rsidRDefault="00D90016" w:rsidP="00DE3363">
            <w:pPr>
              <w:jc w:val="center"/>
              <w:rPr>
                <w:rFonts w:ascii="Verdana" w:hAnsi="Verdana" w:cs="Arial"/>
                <w:b/>
              </w:rPr>
            </w:pPr>
          </w:p>
        </w:tc>
      </w:tr>
      <w:tr w:rsidR="00A2458C" w:rsidTr="00D90016">
        <w:tc>
          <w:tcPr>
            <w:tcW w:w="2112" w:type="dxa"/>
            <w:shd w:val="clear" w:color="auto" w:fill="BFBFBF" w:themeFill="background1" w:themeFillShade="BF"/>
            <w:vAlign w:val="bottom"/>
          </w:tcPr>
          <w:p w:rsidR="00A2458C" w:rsidRPr="00EF6613" w:rsidRDefault="00A2458C" w:rsidP="00F0622D">
            <w:pPr>
              <w:jc w:val="center"/>
              <w:rPr>
                <w:rFonts w:ascii="Verdana" w:hAnsi="Verdana" w:cs="Arial"/>
                <w:b/>
              </w:rPr>
            </w:pPr>
            <w:r w:rsidRPr="00EF6613">
              <w:rPr>
                <w:rFonts w:ascii="Verdana" w:hAnsi="Verdana" w:cs="Arial"/>
                <w:b/>
              </w:rPr>
              <w:t>Έτος</w:t>
            </w:r>
          </w:p>
        </w:tc>
        <w:tc>
          <w:tcPr>
            <w:tcW w:w="2310" w:type="dxa"/>
            <w:shd w:val="clear" w:color="auto" w:fill="BFBFBF" w:themeFill="background1" w:themeFillShade="BF"/>
            <w:vAlign w:val="bottom"/>
          </w:tcPr>
          <w:p w:rsidR="00A2458C" w:rsidRPr="00EF6613" w:rsidRDefault="00A2458C" w:rsidP="00F0622D">
            <w:pPr>
              <w:jc w:val="center"/>
              <w:rPr>
                <w:rFonts w:ascii="Verdana" w:hAnsi="Verdana" w:cs="Arial"/>
                <w:b/>
              </w:rPr>
            </w:pPr>
            <w:r w:rsidRPr="00EF6613">
              <w:rPr>
                <w:rFonts w:ascii="Verdana" w:hAnsi="Verdana" w:cs="Arial"/>
                <w:b/>
              </w:rPr>
              <w:t>Ελληνικές εισαγωγές</w:t>
            </w:r>
          </w:p>
        </w:tc>
        <w:tc>
          <w:tcPr>
            <w:tcW w:w="2311" w:type="dxa"/>
            <w:shd w:val="clear" w:color="auto" w:fill="BFBFBF" w:themeFill="background1" w:themeFillShade="BF"/>
            <w:vAlign w:val="bottom"/>
          </w:tcPr>
          <w:p w:rsidR="00A2458C" w:rsidRPr="00EF6613" w:rsidRDefault="00A2458C" w:rsidP="00F0622D">
            <w:pPr>
              <w:jc w:val="center"/>
              <w:rPr>
                <w:rFonts w:ascii="Verdana" w:hAnsi="Verdana" w:cs="Arial"/>
                <w:b/>
              </w:rPr>
            </w:pPr>
            <w:r w:rsidRPr="00EF6613">
              <w:rPr>
                <w:rFonts w:ascii="Verdana" w:hAnsi="Verdana" w:cs="Arial"/>
                <w:b/>
              </w:rPr>
              <w:t>Ελληνικές εξαγωγές</w:t>
            </w:r>
          </w:p>
        </w:tc>
        <w:tc>
          <w:tcPr>
            <w:tcW w:w="2311" w:type="dxa"/>
            <w:shd w:val="clear" w:color="auto" w:fill="BFBFBF" w:themeFill="background1" w:themeFillShade="BF"/>
            <w:vAlign w:val="bottom"/>
          </w:tcPr>
          <w:p w:rsidR="00A2458C" w:rsidRPr="00EF6613" w:rsidRDefault="00A2458C" w:rsidP="00F0622D">
            <w:pPr>
              <w:jc w:val="center"/>
              <w:rPr>
                <w:rFonts w:ascii="Verdana" w:hAnsi="Verdana" w:cs="Arial"/>
                <w:b/>
              </w:rPr>
            </w:pPr>
            <w:r w:rsidRPr="00EF6613">
              <w:rPr>
                <w:rFonts w:ascii="Verdana" w:hAnsi="Verdana" w:cs="Arial"/>
                <w:b/>
              </w:rPr>
              <w:t>Όγκος εμπορίου</w:t>
            </w:r>
          </w:p>
        </w:tc>
      </w:tr>
      <w:tr w:rsidR="00A2458C" w:rsidTr="00D90016">
        <w:tc>
          <w:tcPr>
            <w:tcW w:w="2112" w:type="dxa"/>
            <w:shd w:val="clear" w:color="auto" w:fill="BFBFBF" w:themeFill="background1" w:themeFillShade="BF"/>
          </w:tcPr>
          <w:p w:rsidR="00A2458C" w:rsidRPr="00EF6613" w:rsidRDefault="00A2458C" w:rsidP="00F0622D">
            <w:pPr>
              <w:rPr>
                <w:rFonts w:ascii="Verdana" w:hAnsi="Verdana" w:cs="Arial"/>
                <w:b/>
                <w:lang w:val="en-US"/>
              </w:rPr>
            </w:pPr>
          </w:p>
          <w:p w:rsidR="00A2458C" w:rsidRPr="00EF6613" w:rsidRDefault="00A2458C" w:rsidP="00F0622D">
            <w:pPr>
              <w:rPr>
                <w:rFonts w:ascii="Verdana" w:hAnsi="Verdana" w:cs="Arial"/>
                <w:b/>
              </w:rPr>
            </w:pPr>
            <w:r w:rsidRPr="00EF6613">
              <w:rPr>
                <w:rFonts w:ascii="Verdana" w:hAnsi="Verdana" w:cs="Arial"/>
                <w:b/>
                <w:lang w:val="en-US"/>
              </w:rPr>
              <w:t>201</w:t>
            </w:r>
            <w:r w:rsidRPr="00EF6613">
              <w:rPr>
                <w:rFonts w:ascii="Verdana" w:hAnsi="Verdana" w:cs="Arial"/>
                <w:b/>
              </w:rPr>
              <w:t>4</w:t>
            </w:r>
          </w:p>
        </w:tc>
        <w:tc>
          <w:tcPr>
            <w:tcW w:w="2310"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397.327</w:t>
            </w:r>
          </w:p>
        </w:tc>
        <w:tc>
          <w:tcPr>
            <w:tcW w:w="2311"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24.186</w:t>
            </w:r>
          </w:p>
        </w:tc>
        <w:tc>
          <w:tcPr>
            <w:tcW w:w="2311"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421.513</w:t>
            </w:r>
          </w:p>
        </w:tc>
      </w:tr>
      <w:tr w:rsidR="00A2458C" w:rsidTr="00D90016">
        <w:tc>
          <w:tcPr>
            <w:tcW w:w="2112" w:type="dxa"/>
            <w:shd w:val="clear" w:color="auto" w:fill="BFBFBF" w:themeFill="background1" w:themeFillShade="BF"/>
          </w:tcPr>
          <w:p w:rsidR="00A2458C" w:rsidRPr="00EF6613" w:rsidRDefault="00A2458C" w:rsidP="00F0622D">
            <w:pPr>
              <w:rPr>
                <w:rFonts w:ascii="Verdana" w:hAnsi="Verdana" w:cs="Arial"/>
                <w:b/>
                <w:lang w:val="en-US"/>
              </w:rPr>
            </w:pPr>
          </w:p>
          <w:p w:rsidR="00A2458C" w:rsidRPr="00EF6613" w:rsidRDefault="00A2458C" w:rsidP="00F0622D">
            <w:pPr>
              <w:rPr>
                <w:rFonts w:ascii="Verdana" w:hAnsi="Verdana" w:cs="Arial"/>
                <w:b/>
              </w:rPr>
            </w:pPr>
            <w:r w:rsidRPr="00EF6613">
              <w:rPr>
                <w:rFonts w:ascii="Verdana" w:hAnsi="Verdana" w:cs="Arial"/>
                <w:b/>
              </w:rPr>
              <w:t>2015</w:t>
            </w:r>
          </w:p>
        </w:tc>
        <w:tc>
          <w:tcPr>
            <w:tcW w:w="2310"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221.351</w:t>
            </w:r>
          </w:p>
        </w:tc>
        <w:tc>
          <w:tcPr>
            <w:tcW w:w="2311"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7.669</w:t>
            </w:r>
          </w:p>
        </w:tc>
        <w:tc>
          <w:tcPr>
            <w:tcW w:w="2311"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229.020</w:t>
            </w:r>
          </w:p>
        </w:tc>
      </w:tr>
      <w:tr w:rsidR="00A2458C" w:rsidTr="00D90016">
        <w:tc>
          <w:tcPr>
            <w:tcW w:w="2112" w:type="dxa"/>
            <w:shd w:val="clear" w:color="auto" w:fill="BFBFBF" w:themeFill="background1" w:themeFillShade="BF"/>
          </w:tcPr>
          <w:p w:rsidR="00A2458C" w:rsidRPr="00EF6613" w:rsidRDefault="00A2458C" w:rsidP="00F0622D">
            <w:pPr>
              <w:rPr>
                <w:rFonts w:ascii="Verdana" w:hAnsi="Verdana" w:cs="Arial"/>
                <w:b/>
                <w:lang w:val="en-US"/>
              </w:rPr>
            </w:pPr>
          </w:p>
          <w:p w:rsidR="00A2458C" w:rsidRPr="00EF6613" w:rsidRDefault="00A2458C" w:rsidP="00F0622D">
            <w:pPr>
              <w:rPr>
                <w:rFonts w:ascii="Verdana" w:hAnsi="Verdana" w:cs="Arial"/>
                <w:b/>
              </w:rPr>
            </w:pPr>
            <w:r w:rsidRPr="00EF6613">
              <w:rPr>
                <w:rFonts w:ascii="Verdana" w:hAnsi="Verdana" w:cs="Arial"/>
                <w:b/>
              </w:rPr>
              <w:t>2016</w:t>
            </w:r>
          </w:p>
        </w:tc>
        <w:tc>
          <w:tcPr>
            <w:tcW w:w="2310"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2.403</w:t>
            </w:r>
          </w:p>
        </w:tc>
        <w:tc>
          <w:tcPr>
            <w:tcW w:w="2311"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23.754</w:t>
            </w:r>
          </w:p>
        </w:tc>
        <w:tc>
          <w:tcPr>
            <w:tcW w:w="2311"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26.157</w:t>
            </w:r>
          </w:p>
        </w:tc>
      </w:tr>
      <w:tr w:rsidR="00A2458C" w:rsidTr="00D90016">
        <w:tc>
          <w:tcPr>
            <w:tcW w:w="2112" w:type="dxa"/>
            <w:shd w:val="clear" w:color="auto" w:fill="BFBFBF" w:themeFill="background1" w:themeFillShade="BF"/>
          </w:tcPr>
          <w:p w:rsidR="00A2458C" w:rsidRPr="00EF6613" w:rsidRDefault="00A2458C" w:rsidP="00F0622D">
            <w:pPr>
              <w:rPr>
                <w:rFonts w:ascii="Verdana" w:hAnsi="Verdana" w:cs="Arial"/>
                <w:b/>
                <w:lang w:val="en-US"/>
              </w:rPr>
            </w:pPr>
          </w:p>
          <w:p w:rsidR="00A2458C" w:rsidRPr="00EF6613" w:rsidRDefault="00A2458C" w:rsidP="00F0622D">
            <w:pPr>
              <w:rPr>
                <w:rFonts w:ascii="Verdana" w:hAnsi="Verdana" w:cs="Arial"/>
                <w:b/>
              </w:rPr>
            </w:pPr>
            <w:r w:rsidRPr="00EF6613">
              <w:rPr>
                <w:rFonts w:ascii="Verdana" w:hAnsi="Verdana" w:cs="Arial"/>
                <w:b/>
              </w:rPr>
              <w:t>2017</w:t>
            </w:r>
          </w:p>
        </w:tc>
        <w:tc>
          <w:tcPr>
            <w:tcW w:w="2310"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123.675</w:t>
            </w:r>
          </w:p>
        </w:tc>
        <w:tc>
          <w:tcPr>
            <w:tcW w:w="2311"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8.318</w:t>
            </w:r>
          </w:p>
        </w:tc>
        <w:tc>
          <w:tcPr>
            <w:tcW w:w="2311" w:type="dxa"/>
            <w:shd w:val="clear" w:color="auto" w:fill="BFBFBF" w:themeFill="background1" w:themeFillShade="BF"/>
          </w:tcPr>
          <w:p w:rsidR="00A2458C" w:rsidRPr="00EF6613" w:rsidRDefault="00A2458C" w:rsidP="00A2458C">
            <w:pPr>
              <w:jc w:val="right"/>
              <w:rPr>
                <w:rFonts w:ascii="Verdana" w:hAnsi="Verdana" w:cs="Arial"/>
                <w:lang w:val="en-US"/>
              </w:rPr>
            </w:pPr>
          </w:p>
          <w:p w:rsidR="00A2458C" w:rsidRPr="00EF6613" w:rsidRDefault="00A2458C" w:rsidP="00A2458C">
            <w:pPr>
              <w:jc w:val="right"/>
              <w:rPr>
                <w:rFonts w:ascii="Verdana" w:hAnsi="Verdana" w:cs="Arial"/>
              </w:rPr>
            </w:pPr>
            <w:r w:rsidRPr="00EF6613">
              <w:rPr>
                <w:rFonts w:ascii="Verdana" w:hAnsi="Verdana" w:cs="Arial"/>
              </w:rPr>
              <w:t>131.993</w:t>
            </w:r>
          </w:p>
        </w:tc>
      </w:tr>
      <w:tr w:rsidR="00A2458C" w:rsidTr="00D90016">
        <w:tc>
          <w:tcPr>
            <w:tcW w:w="2112" w:type="dxa"/>
            <w:shd w:val="clear" w:color="auto" w:fill="BFBFBF" w:themeFill="background1" w:themeFillShade="BF"/>
          </w:tcPr>
          <w:p w:rsidR="00A2458C" w:rsidRDefault="00A2458C" w:rsidP="00F0622D">
            <w:pPr>
              <w:rPr>
                <w:rFonts w:ascii="Verdana" w:hAnsi="Verdana" w:cs="Arial"/>
                <w:b/>
              </w:rPr>
            </w:pPr>
          </w:p>
          <w:p w:rsidR="00A2458C" w:rsidRPr="00EF6613" w:rsidRDefault="00A2458C" w:rsidP="00F0622D">
            <w:pPr>
              <w:rPr>
                <w:rFonts w:ascii="Verdana" w:hAnsi="Verdana" w:cs="Arial"/>
                <w:b/>
              </w:rPr>
            </w:pPr>
            <w:r w:rsidRPr="00EF6613">
              <w:rPr>
                <w:rFonts w:ascii="Verdana" w:hAnsi="Verdana" w:cs="Arial"/>
                <w:b/>
                <w:lang w:val="en-US"/>
              </w:rPr>
              <w:t>201</w:t>
            </w:r>
            <w:r w:rsidRPr="00EF6613">
              <w:rPr>
                <w:rFonts w:ascii="Verdana" w:hAnsi="Verdana" w:cs="Arial"/>
                <w:b/>
              </w:rPr>
              <w:t>8</w:t>
            </w:r>
          </w:p>
        </w:tc>
        <w:tc>
          <w:tcPr>
            <w:tcW w:w="2310" w:type="dxa"/>
            <w:shd w:val="clear" w:color="auto" w:fill="BFBFBF" w:themeFill="background1" w:themeFillShade="BF"/>
          </w:tcPr>
          <w:p w:rsidR="00A2458C" w:rsidRDefault="00A2458C" w:rsidP="00A2458C">
            <w:pPr>
              <w:jc w:val="right"/>
              <w:rPr>
                <w:rFonts w:ascii="Verdana" w:hAnsi="Verdana" w:cs="Arial"/>
              </w:rPr>
            </w:pPr>
          </w:p>
          <w:p w:rsidR="00A2458C" w:rsidRPr="00EF6613" w:rsidRDefault="00A2458C" w:rsidP="00A2458C">
            <w:pPr>
              <w:jc w:val="right"/>
              <w:rPr>
                <w:rFonts w:ascii="Verdana" w:hAnsi="Verdana" w:cs="Arial"/>
              </w:rPr>
            </w:pPr>
            <w:r w:rsidRPr="00EF6613">
              <w:rPr>
                <w:rFonts w:ascii="Verdana" w:hAnsi="Verdana" w:cs="Arial"/>
              </w:rPr>
              <w:t>220.420</w:t>
            </w:r>
          </w:p>
        </w:tc>
        <w:tc>
          <w:tcPr>
            <w:tcW w:w="2311" w:type="dxa"/>
            <w:shd w:val="clear" w:color="auto" w:fill="BFBFBF" w:themeFill="background1" w:themeFillShade="BF"/>
          </w:tcPr>
          <w:p w:rsidR="00A2458C" w:rsidRDefault="00A2458C" w:rsidP="00A2458C">
            <w:pPr>
              <w:jc w:val="right"/>
              <w:rPr>
                <w:rFonts w:ascii="Verdana" w:hAnsi="Verdana" w:cs="Arial"/>
              </w:rPr>
            </w:pPr>
          </w:p>
          <w:p w:rsidR="00A2458C" w:rsidRPr="00EF6613" w:rsidRDefault="00A2458C" w:rsidP="00A2458C">
            <w:pPr>
              <w:jc w:val="right"/>
              <w:rPr>
                <w:rFonts w:ascii="Verdana" w:hAnsi="Verdana" w:cs="Arial"/>
              </w:rPr>
            </w:pPr>
            <w:r w:rsidRPr="00EF6613">
              <w:rPr>
                <w:rFonts w:ascii="Verdana" w:hAnsi="Verdana" w:cs="Arial"/>
              </w:rPr>
              <w:t>3.984</w:t>
            </w:r>
          </w:p>
        </w:tc>
        <w:tc>
          <w:tcPr>
            <w:tcW w:w="2311" w:type="dxa"/>
            <w:shd w:val="clear" w:color="auto" w:fill="BFBFBF" w:themeFill="background1" w:themeFillShade="BF"/>
          </w:tcPr>
          <w:p w:rsidR="00A2458C" w:rsidRDefault="00A2458C" w:rsidP="00A2458C">
            <w:pPr>
              <w:jc w:val="right"/>
              <w:rPr>
                <w:rFonts w:ascii="Verdana" w:hAnsi="Verdana" w:cs="Arial"/>
              </w:rPr>
            </w:pPr>
          </w:p>
          <w:p w:rsidR="00A2458C" w:rsidRPr="00EF6613" w:rsidRDefault="00A2458C" w:rsidP="00A2458C">
            <w:pPr>
              <w:jc w:val="right"/>
              <w:rPr>
                <w:rFonts w:ascii="Verdana" w:hAnsi="Verdana" w:cs="Arial"/>
              </w:rPr>
            </w:pPr>
            <w:r w:rsidRPr="00EF6613">
              <w:rPr>
                <w:rFonts w:ascii="Verdana" w:hAnsi="Verdana" w:cs="Arial"/>
              </w:rPr>
              <w:t>224.404</w:t>
            </w:r>
          </w:p>
        </w:tc>
      </w:tr>
      <w:tr w:rsidR="00A2458C" w:rsidTr="00D90016">
        <w:tc>
          <w:tcPr>
            <w:tcW w:w="2112" w:type="dxa"/>
            <w:shd w:val="clear" w:color="auto" w:fill="BFBFBF" w:themeFill="background1" w:themeFillShade="BF"/>
          </w:tcPr>
          <w:p w:rsidR="00A2458C" w:rsidRDefault="00A2458C" w:rsidP="009D61BC">
            <w:pPr>
              <w:jc w:val="both"/>
              <w:rPr>
                <w:rFonts w:ascii="Verdana" w:hAnsi="Verdana" w:cs="Arial"/>
              </w:rPr>
            </w:pPr>
          </w:p>
          <w:p w:rsidR="00A2458C" w:rsidRPr="00A2458C" w:rsidRDefault="00A2458C" w:rsidP="009D61BC">
            <w:pPr>
              <w:jc w:val="both"/>
              <w:rPr>
                <w:rFonts w:ascii="Verdana" w:hAnsi="Verdana" w:cs="Arial"/>
                <w:b/>
              </w:rPr>
            </w:pPr>
            <w:r w:rsidRPr="00A2458C">
              <w:rPr>
                <w:rFonts w:ascii="Verdana" w:hAnsi="Verdana" w:cs="Arial"/>
                <w:b/>
              </w:rPr>
              <w:t>2019</w:t>
            </w:r>
          </w:p>
        </w:tc>
        <w:tc>
          <w:tcPr>
            <w:tcW w:w="2310" w:type="dxa"/>
            <w:shd w:val="clear" w:color="auto" w:fill="BFBFBF" w:themeFill="background1" w:themeFillShade="BF"/>
          </w:tcPr>
          <w:p w:rsidR="00A2458C" w:rsidRDefault="00A2458C" w:rsidP="00A2458C">
            <w:pPr>
              <w:jc w:val="right"/>
              <w:rPr>
                <w:rFonts w:ascii="Verdana" w:hAnsi="Verdana" w:cs="Arial"/>
              </w:rPr>
            </w:pPr>
          </w:p>
          <w:p w:rsidR="00A2458C" w:rsidRPr="00A2458C" w:rsidRDefault="00A2458C" w:rsidP="00A2458C">
            <w:pPr>
              <w:jc w:val="right"/>
              <w:rPr>
                <w:rFonts w:ascii="Verdana" w:hAnsi="Verdana" w:cs="Arial"/>
              </w:rPr>
            </w:pPr>
            <w:r>
              <w:rPr>
                <w:rFonts w:ascii="Verdana" w:hAnsi="Verdana" w:cs="Arial"/>
              </w:rPr>
              <w:t>305.</w:t>
            </w:r>
            <w:r w:rsidRPr="00A2458C">
              <w:rPr>
                <w:rFonts w:ascii="Verdana" w:hAnsi="Verdana" w:cs="Arial"/>
              </w:rPr>
              <w:t>5</w:t>
            </w:r>
            <w:r>
              <w:rPr>
                <w:rFonts w:ascii="Verdana" w:hAnsi="Verdana" w:cs="Arial"/>
              </w:rPr>
              <w:t>90</w:t>
            </w:r>
          </w:p>
        </w:tc>
        <w:tc>
          <w:tcPr>
            <w:tcW w:w="2311" w:type="dxa"/>
            <w:shd w:val="clear" w:color="auto" w:fill="BFBFBF" w:themeFill="background1" w:themeFillShade="BF"/>
          </w:tcPr>
          <w:p w:rsidR="00A2458C" w:rsidRDefault="00A2458C" w:rsidP="00A2458C">
            <w:pPr>
              <w:jc w:val="right"/>
              <w:rPr>
                <w:rFonts w:ascii="Verdana" w:hAnsi="Verdana" w:cs="Arial"/>
              </w:rPr>
            </w:pPr>
          </w:p>
          <w:p w:rsidR="00A2458C" w:rsidRPr="00A2458C" w:rsidRDefault="00A2458C" w:rsidP="00A2458C">
            <w:pPr>
              <w:jc w:val="right"/>
              <w:rPr>
                <w:rFonts w:ascii="Verdana" w:hAnsi="Verdana" w:cs="Arial"/>
              </w:rPr>
            </w:pPr>
            <w:r w:rsidRPr="00A2458C">
              <w:rPr>
                <w:rFonts w:ascii="Verdana" w:hAnsi="Verdana" w:cs="Arial"/>
              </w:rPr>
              <w:t>8.255</w:t>
            </w:r>
          </w:p>
        </w:tc>
        <w:tc>
          <w:tcPr>
            <w:tcW w:w="2311" w:type="dxa"/>
            <w:shd w:val="clear" w:color="auto" w:fill="BFBFBF" w:themeFill="background1" w:themeFillShade="BF"/>
          </w:tcPr>
          <w:p w:rsidR="00A2458C" w:rsidRDefault="00A2458C" w:rsidP="00A2458C">
            <w:pPr>
              <w:jc w:val="right"/>
              <w:rPr>
                <w:rFonts w:ascii="Verdana" w:hAnsi="Verdana" w:cs="Arial"/>
              </w:rPr>
            </w:pPr>
          </w:p>
          <w:p w:rsidR="00A2458C" w:rsidRPr="00A2458C" w:rsidRDefault="00A2458C" w:rsidP="00A2458C">
            <w:pPr>
              <w:jc w:val="right"/>
              <w:rPr>
                <w:rFonts w:ascii="Verdana" w:hAnsi="Verdana" w:cs="Arial"/>
              </w:rPr>
            </w:pPr>
            <w:r>
              <w:rPr>
                <w:rFonts w:ascii="Verdana" w:hAnsi="Verdana" w:cs="Arial"/>
              </w:rPr>
              <w:t>313.845</w:t>
            </w:r>
          </w:p>
        </w:tc>
      </w:tr>
    </w:tbl>
    <w:p w:rsidR="009D61BC" w:rsidRDefault="009D61BC" w:rsidP="009D61BC">
      <w:pPr>
        <w:rPr>
          <w:rFonts w:ascii="Verdana" w:hAnsi="Verdana" w:cs="Arial"/>
        </w:rPr>
      </w:pPr>
      <w:r w:rsidRPr="00EF6613">
        <w:t xml:space="preserve"> </w:t>
      </w:r>
      <w:r w:rsidRPr="00EF6613">
        <w:rPr>
          <w:rFonts w:ascii="Verdana" w:hAnsi="Verdana" w:cs="Arial"/>
          <w:b/>
        </w:rPr>
        <w:t>Πηγή :</w:t>
      </w:r>
      <w:r w:rsidRPr="00EF6613">
        <w:rPr>
          <w:rFonts w:ascii="Verdana" w:hAnsi="Verdana" w:cs="Arial"/>
        </w:rPr>
        <w:t xml:space="preserve"> ΕΛΣΤΑΤ, Επεξεργασία Γραφείου ΟΕΥ</w:t>
      </w:r>
    </w:p>
    <w:p w:rsidR="00D90016" w:rsidRDefault="00D90016" w:rsidP="009D61BC">
      <w:pPr>
        <w:jc w:val="both"/>
        <w:rPr>
          <w:rFonts w:ascii="Verdana" w:hAnsi="Verdana" w:cs="Arial"/>
          <w:b/>
          <w:sz w:val="24"/>
          <w:szCs w:val="24"/>
        </w:rPr>
      </w:pPr>
    </w:p>
    <w:p w:rsidR="009D61BC" w:rsidRPr="00EF6613" w:rsidRDefault="00087891" w:rsidP="009D61BC">
      <w:pPr>
        <w:jc w:val="both"/>
        <w:rPr>
          <w:rFonts w:ascii="Verdana" w:hAnsi="Verdana" w:cs="Arial"/>
          <w:b/>
          <w:sz w:val="24"/>
          <w:szCs w:val="24"/>
        </w:rPr>
      </w:pPr>
      <w:r>
        <w:rPr>
          <w:rFonts w:ascii="Verdana" w:hAnsi="Verdana" w:cs="Arial"/>
          <w:b/>
          <w:sz w:val="24"/>
          <w:szCs w:val="24"/>
        </w:rPr>
        <w:t>2</w:t>
      </w:r>
      <w:r w:rsidR="009D61BC" w:rsidRPr="00EF6613">
        <w:rPr>
          <w:rFonts w:ascii="Verdana" w:hAnsi="Verdana" w:cs="Arial"/>
          <w:b/>
          <w:sz w:val="24"/>
          <w:szCs w:val="24"/>
        </w:rPr>
        <w:t>. ΕΛΛΗΝΙΚΕΣ ΕΞΑΓΩΓΕΣ</w:t>
      </w:r>
    </w:p>
    <w:p w:rsidR="00D76328" w:rsidRPr="00D76328" w:rsidRDefault="00143A3E" w:rsidP="00FF2C29">
      <w:pPr>
        <w:jc w:val="both"/>
        <w:rPr>
          <w:rFonts w:ascii="Verdana" w:hAnsi="Verdana"/>
          <w:b/>
        </w:rPr>
      </w:pPr>
      <w:r>
        <w:rPr>
          <w:rFonts w:ascii="Verdana" w:hAnsi="Verdana"/>
        </w:rPr>
        <w:t>Την πενταετία (2014-2018</w:t>
      </w:r>
      <w:r w:rsidR="00FF2C29" w:rsidRPr="00FF2C29">
        <w:rPr>
          <w:rFonts w:ascii="Verdana" w:hAnsi="Verdana"/>
        </w:rPr>
        <w:t>) οι ελληνικές εξαγωγές προς το Α</w:t>
      </w:r>
      <w:r w:rsidR="00D76328">
        <w:rPr>
          <w:rFonts w:ascii="Verdana" w:hAnsi="Verdana"/>
        </w:rPr>
        <w:t>ζερμπαϊτζάν κυμαίνονταν μεταξύ 7 και 8</w:t>
      </w:r>
      <w:r w:rsidR="00FF2C29" w:rsidRPr="00FF2C29">
        <w:rPr>
          <w:rFonts w:ascii="Verdana" w:hAnsi="Verdana"/>
        </w:rPr>
        <w:t xml:space="preserve"> εκατ. Ευρώ ετησίως, με διαφαινόμενη τάση μείωσης. Σημειωτέον, </w:t>
      </w:r>
      <w:r w:rsidR="00FF2C29" w:rsidRPr="00D76328">
        <w:rPr>
          <w:rFonts w:ascii="Verdana" w:hAnsi="Verdana"/>
          <w:b/>
        </w:rPr>
        <w:t>ότι η εξαγωγική «έκρηξη» του 2014</w:t>
      </w:r>
      <w:r w:rsidR="00FF2C29" w:rsidRPr="00FF2C29">
        <w:rPr>
          <w:rFonts w:ascii="Verdana" w:hAnsi="Verdana"/>
        </w:rPr>
        <w:t xml:space="preserve"> - ιστορικό υψηλό σχεδόν 24,1 εκ. Ευρώ - αποδείχτηκε, όπως προέκυψε τα αμέσως επόμενα έτη, </w:t>
      </w:r>
      <w:r w:rsidR="00FF2C29" w:rsidRPr="00FF2C29">
        <w:rPr>
          <w:rFonts w:ascii="Verdana" w:hAnsi="Verdana"/>
          <w:b/>
          <w:bCs/>
        </w:rPr>
        <w:t>συγκυριακή:</w:t>
      </w:r>
      <w:r w:rsidR="00FF2C29" w:rsidRPr="00FF2C29">
        <w:rPr>
          <w:rFonts w:ascii="Verdana" w:hAnsi="Verdana"/>
        </w:rPr>
        <w:t xml:space="preserve"> οφειλόταν αποκλειστικά στα </w:t>
      </w:r>
      <w:r w:rsidR="00FF2C29" w:rsidRPr="00FF2C29">
        <w:rPr>
          <w:rFonts w:ascii="Verdana" w:hAnsi="Verdana"/>
          <w:b/>
          <w:bCs/>
        </w:rPr>
        <w:t>πετρελαιοειδή</w:t>
      </w:r>
      <w:r w:rsidR="00FF2C29" w:rsidRPr="00FF2C29">
        <w:rPr>
          <w:rFonts w:ascii="Verdana" w:hAnsi="Verdana"/>
        </w:rPr>
        <w:t xml:space="preserve"> και δη στη βενζίνη 92, 95 και 98 οκτανίων</w:t>
      </w:r>
      <w:r w:rsidR="00FF2C29" w:rsidRPr="00FF2C29">
        <w:rPr>
          <w:rFonts w:ascii="Verdana" w:hAnsi="Verdana"/>
          <w:i/>
          <w:iCs/>
        </w:rPr>
        <w:t xml:space="preserve"> </w:t>
      </w:r>
      <w:r w:rsidR="00FF2C29" w:rsidRPr="00FF2C29">
        <w:rPr>
          <w:rFonts w:ascii="Verdana" w:hAnsi="Verdana"/>
        </w:rPr>
        <w:t xml:space="preserve">της εταιρείας </w:t>
      </w:r>
      <w:proofErr w:type="spellStart"/>
      <w:r w:rsidR="00FF2C29" w:rsidRPr="00FF2C29">
        <w:rPr>
          <w:rFonts w:ascii="Verdana" w:hAnsi="Verdana"/>
        </w:rPr>
        <w:t>Μotor</w:t>
      </w:r>
      <w:proofErr w:type="spellEnd"/>
      <w:r w:rsidR="00FF2C29" w:rsidRPr="00FF2C29">
        <w:rPr>
          <w:rFonts w:ascii="Verdana" w:hAnsi="Verdana"/>
        </w:rPr>
        <w:t xml:space="preserve"> </w:t>
      </w:r>
      <w:proofErr w:type="spellStart"/>
      <w:r w:rsidR="00FF2C29" w:rsidRPr="00FF2C29">
        <w:rPr>
          <w:rFonts w:ascii="Verdana" w:hAnsi="Verdana"/>
        </w:rPr>
        <w:t>Οil</w:t>
      </w:r>
      <w:proofErr w:type="spellEnd"/>
      <w:r w:rsidR="00FF2C29" w:rsidRPr="00FF2C29">
        <w:rPr>
          <w:rFonts w:ascii="Verdana" w:hAnsi="Verdana"/>
        </w:rPr>
        <w:t xml:space="preserve"> </w:t>
      </w:r>
      <w:proofErr w:type="spellStart"/>
      <w:r w:rsidR="00FF2C29" w:rsidRPr="00FF2C29">
        <w:rPr>
          <w:rFonts w:ascii="Verdana" w:hAnsi="Verdana"/>
        </w:rPr>
        <w:t>Ηellas</w:t>
      </w:r>
      <w:proofErr w:type="spellEnd"/>
      <w:r w:rsidR="00FF2C29" w:rsidRPr="00FF2C29">
        <w:rPr>
          <w:rFonts w:ascii="Verdana" w:hAnsi="Verdana"/>
        </w:rPr>
        <w:t xml:space="preserve"> </w:t>
      </w:r>
      <w:r w:rsidR="00FF2C29" w:rsidRPr="00FF2C29">
        <w:rPr>
          <w:rFonts w:ascii="Verdana" w:hAnsi="Verdana"/>
          <w:i/>
          <w:iCs/>
        </w:rPr>
        <w:t xml:space="preserve">(υπενθυμίζεται ότι το 2014 η χώρα ξεκίνησε εισαγωγή βενζίνης από το εξωτερικό κατόπιν απόφασης της </w:t>
      </w:r>
      <w:r w:rsidR="00FF2C29" w:rsidRPr="00FF2C29">
        <w:rPr>
          <w:rFonts w:ascii="Verdana" w:hAnsi="Verdana"/>
          <w:i/>
          <w:iCs/>
        </w:rPr>
        <w:lastRenderedPageBreak/>
        <w:t>SOCAR να διακόψει προσωρινά την εγχώρια παραγωγή, λόγω αναβάθμισης του συγκεκριμένου διυλιστηρίου</w:t>
      </w:r>
      <w:r w:rsidR="00FF2C29" w:rsidRPr="00FF2C29">
        <w:rPr>
          <w:rFonts w:ascii="Verdana" w:hAnsi="Verdana"/>
        </w:rPr>
        <w:t xml:space="preserve">). Λόγω της κρίσης, όμως, οι ποσότητες ποιοτικής βενζίνης που είχαν εισαχθεί το 2014 από την Ελλάδα (30.787 </w:t>
      </w:r>
      <w:proofErr w:type="spellStart"/>
      <w:r w:rsidR="00FF2C29" w:rsidRPr="00FF2C29">
        <w:rPr>
          <w:rFonts w:ascii="Verdana" w:hAnsi="Verdana"/>
        </w:rPr>
        <w:t>τόννοι</w:t>
      </w:r>
      <w:proofErr w:type="spellEnd"/>
      <w:r w:rsidR="00FF2C29" w:rsidRPr="00FF2C29">
        <w:rPr>
          <w:rFonts w:ascii="Verdana" w:hAnsi="Verdana"/>
        </w:rPr>
        <w:t xml:space="preserve"> των 95 οκτανίων, 14.350 </w:t>
      </w:r>
      <w:proofErr w:type="spellStart"/>
      <w:r w:rsidR="00FF2C29" w:rsidRPr="00FF2C29">
        <w:rPr>
          <w:rFonts w:ascii="Verdana" w:hAnsi="Verdana"/>
        </w:rPr>
        <w:t>τόννοι</w:t>
      </w:r>
      <w:proofErr w:type="spellEnd"/>
      <w:r w:rsidR="00FF2C29" w:rsidRPr="00FF2C29">
        <w:rPr>
          <w:rFonts w:ascii="Verdana" w:hAnsi="Verdana"/>
        </w:rPr>
        <w:t xml:space="preserve"> των 92 οκτανίων και 527 </w:t>
      </w:r>
      <w:proofErr w:type="spellStart"/>
      <w:r w:rsidR="00FF2C29" w:rsidRPr="00FF2C29">
        <w:rPr>
          <w:rFonts w:ascii="Verdana" w:hAnsi="Verdana"/>
        </w:rPr>
        <w:t>τόννοι</w:t>
      </w:r>
      <w:proofErr w:type="spellEnd"/>
      <w:r w:rsidR="00FF2C29" w:rsidRPr="00FF2C29">
        <w:rPr>
          <w:rFonts w:ascii="Verdana" w:hAnsi="Verdana"/>
        </w:rPr>
        <w:t xml:space="preserve"> των 98 οκτανίων) παρέμειναν αδιάθετες το 2015, ενώ κατόπιν η χώρα στράφηκε για τα εν λόγω προϊόντα σε Ρουμανία και Ρωσία.</w:t>
      </w:r>
      <w:r w:rsidR="00FF2C29" w:rsidRPr="00FF2C29">
        <w:rPr>
          <w:rFonts w:ascii="Verdana" w:hAnsi="Verdana"/>
          <w:i/>
          <w:iCs/>
        </w:rPr>
        <w:t xml:space="preserve"> </w:t>
      </w:r>
      <w:r w:rsidR="00FF2C29" w:rsidRPr="00D76328">
        <w:rPr>
          <w:rFonts w:ascii="Verdana" w:hAnsi="Verdana"/>
          <w:b/>
          <w:iCs/>
        </w:rPr>
        <w:t>Το ίδιο φαινόμενο παρατηρήθηκε και το</w:t>
      </w:r>
      <w:r w:rsidR="00FF2C29" w:rsidRPr="00D76328">
        <w:rPr>
          <w:rFonts w:ascii="Verdana" w:hAnsi="Verdana"/>
          <w:b/>
        </w:rPr>
        <w:t xml:space="preserve"> 2016</w:t>
      </w:r>
      <w:r w:rsidR="00FF2C29" w:rsidRPr="00FF2C29">
        <w:rPr>
          <w:rFonts w:ascii="Verdana" w:hAnsi="Verdana"/>
        </w:rPr>
        <w:t xml:space="preserve">,με τις ελληνικές εξαγωγές να ανέρχονται σε  23,7 εκατ. Ευρώ και  τα πετρελαιοειδή να αποτελούν το 48% </w:t>
      </w:r>
      <w:r w:rsidR="00D76328">
        <w:rPr>
          <w:rFonts w:ascii="Verdana" w:hAnsi="Verdana"/>
        </w:rPr>
        <w:t>του συνόλου των εξαγωγών μας. Το</w:t>
      </w:r>
      <w:r w:rsidR="00FF2C29" w:rsidRPr="00FF2C29">
        <w:rPr>
          <w:rFonts w:ascii="Verdana" w:hAnsi="Verdana"/>
        </w:rPr>
        <w:t xml:space="preserve"> 2017 κατεγράφη σημαντική  μείωση κατά 65% των ελληνικών εξαγωγών αγαθών, φθάνοντας τα 8,3 εκατ. Ευρώ και ακολουθεί  νέα μείωση  κατά 52% το 2018.</w:t>
      </w:r>
      <w:r w:rsidR="006A044D">
        <w:rPr>
          <w:rFonts w:ascii="Verdana" w:hAnsi="Verdana"/>
        </w:rPr>
        <w:t xml:space="preserve"> </w:t>
      </w:r>
      <w:r w:rsidR="00D76328" w:rsidRPr="00D76328">
        <w:rPr>
          <w:rFonts w:ascii="Verdana" w:hAnsi="Verdana"/>
          <w:b/>
        </w:rPr>
        <w:t>Το 2019 οι ελληνικές εξαγωγές κατάφεραν να επανακάμψουν ανερχόμενες σε 8,2 εκατ. Ευρώ σημειώνοντας σημαντική κατά 47,5%</w:t>
      </w:r>
      <w:r w:rsidR="00D76328">
        <w:rPr>
          <w:rFonts w:ascii="Verdana" w:hAnsi="Verdana"/>
          <w:b/>
        </w:rPr>
        <w:t xml:space="preserve"> αύξηση</w:t>
      </w:r>
      <w:r w:rsidR="00D76328" w:rsidRPr="00D76328">
        <w:rPr>
          <w:rFonts w:ascii="Verdana" w:hAnsi="Verdana"/>
          <w:b/>
        </w:rPr>
        <w:t>.</w:t>
      </w:r>
    </w:p>
    <w:p w:rsidR="009D61BC" w:rsidRDefault="00DE1549" w:rsidP="009D61BC">
      <w:pPr>
        <w:jc w:val="both"/>
        <w:rPr>
          <w:rFonts w:ascii="Verdana" w:hAnsi="Verdana" w:cs="Arial"/>
        </w:rPr>
      </w:pPr>
      <w:r w:rsidRPr="00DE1549">
        <w:rPr>
          <w:rFonts w:ascii="Verdana" w:hAnsi="Verdana" w:cs="Arial"/>
        </w:rPr>
        <w:t>Τ</w:t>
      </w:r>
      <w:r w:rsidR="009D61BC" w:rsidRPr="00EF6613">
        <w:rPr>
          <w:rFonts w:ascii="Verdana" w:hAnsi="Verdana" w:cs="Arial"/>
        </w:rPr>
        <w:t xml:space="preserve">ην πρώτη θέση στην κατάταξη των εξαγώγιμων ελληνικών προϊόντων </w:t>
      </w:r>
      <w:r w:rsidRPr="00EF6613">
        <w:rPr>
          <w:rFonts w:ascii="Verdana" w:hAnsi="Verdana" w:cs="Arial"/>
        </w:rPr>
        <w:t xml:space="preserve">καταλαμβάνουν </w:t>
      </w:r>
      <w:r w:rsidR="009D61BC" w:rsidRPr="00EF6613">
        <w:rPr>
          <w:rFonts w:ascii="Verdana" w:hAnsi="Verdana" w:cs="Arial"/>
        </w:rPr>
        <w:t xml:space="preserve">με ποσοστό </w:t>
      </w:r>
      <w:r>
        <w:rPr>
          <w:rFonts w:ascii="Verdana" w:hAnsi="Verdana" w:cs="Arial"/>
        </w:rPr>
        <w:t>31,7</w:t>
      </w:r>
      <w:r w:rsidR="009D61BC" w:rsidRPr="00EF6613">
        <w:rPr>
          <w:rFonts w:ascii="Verdana" w:hAnsi="Verdana" w:cs="Arial"/>
        </w:rPr>
        <w:t>% επί της συνολικής αξίας των εξαγωγών μας π</w:t>
      </w:r>
      <w:r>
        <w:rPr>
          <w:rFonts w:ascii="Verdana" w:hAnsi="Verdana" w:cs="Arial"/>
        </w:rPr>
        <w:t xml:space="preserve">ρος το Αζερμπαϊτζάν </w:t>
      </w:r>
      <w:r w:rsidRPr="0038217B">
        <w:rPr>
          <w:rFonts w:ascii="Verdana" w:hAnsi="Verdana" w:cs="Arial"/>
          <w:b/>
        </w:rPr>
        <w:t>οι θερμαντικές συσκευές</w:t>
      </w:r>
      <w:r w:rsidR="009D61BC" w:rsidRPr="00EF6613">
        <w:rPr>
          <w:rFonts w:ascii="Verdana" w:hAnsi="Verdana" w:cs="Arial"/>
        </w:rPr>
        <w:t xml:space="preserve">. Ακολουθούν </w:t>
      </w:r>
      <w:r w:rsidR="009D61BC" w:rsidRPr="00EF6613">
        <w:rPr>
          <w:rFonts w:ascii="Verdana" w:hAnsi="Verdana" w:cs="Arial"/>
          <w:b/>
        </w:rPr>
        <w:t>φύλλα και λεπτές ταινίες από αργίλιο</w:t>
      </w:r>
      <w:r w:rsidR="009D61BC" w:rsidRPr="00EF6613">
        <w:rPr>
          <w:rFonts w:ascii="Verdana" w:hAnsi="Verdana" w:cs="Arial"/>
        </w:rPr>
        <w:t xml:space="preserve"> με </w:t>
      </w:r>
      <w:r w:rsidR="0038217B">
        <w:rPr>
          <w:rFonts w:ascii="Verdana" w:hAnsi="Verdana" w:cs="Arial"/>
        </w:rPr>
        <w:t>10.9%</w:t>
      </w:r>
      <w:r w:rsidR="0038217B">
        <w:rPr>
          <w:rFonts w:ascii="Verdana" w:hAnsi="Verdana" w:cs="Arial"/>
          <w:b/>
        </w:rPr>
        <w:t xml:space="preserve">, </w:t>
      </w:r>
      <w:r w:rsidR="009D61BC" w:rsidRPr="00EF6613">
        <w:rPr>
          <w:rFonts w:ascii="Verdana" w:hAnsi="Verdana"/>
          <w:b/>
        </w:rPr>
        <w:t xml:space="preserve">λάδια </w:t>
      </w:r>
      <w:r w:rsidR="0038217B">
        <w:rPr>
          <w:rFonts w:ascii="Verdana" w:hAnsi="Verdana"/>
          <w:b/>
        </w:rPr>
        <w:t>από πετρέλαιο</w:t>
      </w:r>
      <w:r w:rsidR="009D61BC" w:rsidRPr="00EF6613">
        <w:rPr>
          <w:rFonts w:ascii="Verdana" w:hAnsi="Verdana"/>
          <w:b/>
        </w:rPr>
        <w:t xml:space="preserve"> </w:t>
      </w:r>
      <w:r w:rsidR="0038217B">
        <w:rPr>
          <w:rFonts w:ascii="Verdana" w:hAnsi="Verdana" w:cs="Arial"/>
        </w:rPr>
        <w:t>με 7,3</w:t>
      </w:r>
      <w:r w:rsidR="009D61BC" w:rsidRPr="00EF6613">
        <w:rPr>
          <w:rFonts w:ascii="Verdana" w:hAnsi="Verdana" w:cs="Arial"/>
        </w:rPr>
        <w:t>%</w:t>
      </w:r>
      <w:r w:rsidR="009D61BC" w:rsidRPr="00EF6613">
        <w:rPr>
          <w:rFonts w:ascii="Verdana" w:hAnsi="Verdana" w:cs="Arial"/>
          <w:b/>
        </w:rPr>
        <w:t>,</w:t>
      </w:r>
      <w:r w:rsidR="0038217B">
        <w:rPr>
          <w:rFonts w:ascii="Verdana" w:hAnsi="Verdana" w:cs="Arial"/>
          <w:b/>
        </w:rPr>
        <w:t xml:space="preserve"> φάρμακα με 6,7%,</w:t>
      </w:r>
      <w:r w:rsidR="009D61BC" w:rsidRPr="00EF6613">
        <w:rPr>
          <w:rFonts w:ascii="Verdana" w:hAnsi="Verdana" w:cs="Arial"/>
          <w:b/>
        </w:rPr>
        <w:t xml:space="preserve"> </w:t>
      </w:r>
      <w:r w:rsidR="0038217B" w:rsidRPr="00EF6613">
        <w:rPr>
          <w:rFonts w:ascii="Verdana" w:hAnsi="Verdana" w:cs="Arial"/>
          <w:b/>
        </w:rPr>
        <w:t>πέτρες οικοδομικές</w:t>
      </w:r>
      <w:r w:rsidR="0038217B" w:rsidRPr="00EF6613">
        <w:rPr>
          <w:rFonts w:ascii="Verdana" w:hAnsi="Verdana" w:cs="Arial"/>
        </w:rPr>
        <w:t xml:space="preserve"> με </w:t>
      </w:r>
      <w:r w:rsidR="0038217B">
        <w:rPr>
          <w:rFonts w:ascii="Verdana" w:hAnsi="Verdana" w:cs="Arial"/>
        </w:rPr>
        <w:t>4,8% και</w:t>
      </w:r>
      <w:r w:rsidR="0038217B" w:rsidRPr="00EF6613">
        <w:rPr>
          <w:rFonts w:ascii="Verdana" w:hAnsi="Verdana" w:cs="Arial"/>
        </w:rPr>
        <w:t xml:space="preserve"> </w:t>
      </w:r>
      <w:r w:rsidR="009D61BC" w:rsidRPr="00EF6613">
        <w:rPr>
          <w:rFonts w:ascii="Verdana" w:hAnsi="Verdana" w:cs="Arial"/>
          <w:b/>
        </w:rPr>
        <w:t xml:space="preserve">πλάκες από πλαστικές ύλες </w:t>
      </w:r>
      <w:r w:rsidR="0038217B">
        <w:rPr>
          <w:rFonts w:ascii="Verdana" w:hAnsi="Verdana" w:cs="Arial"/>
        </w:rPr>
        <w:t>με 4,8%.</w:t>
      </w:r>
      <w:r w:rsidR="009D61BC" w:rsidRPr="00EF6613">
        <w:rPr>
          <w:rFonts w:ascii="Verdana" w:hAnsi="Verdana" w:cs="Arial"/>
        </w:rPr>
        <w:t xml:space="preserve"> </w:t>
      </w:r>
    </w:p>
    <w:tbl>
      <w:tblPr>
        <w:tblStyle w:val="a9"/>
        <w:tblW w:w="0" w:type="auto"/>
        <w:shd w:val="clear" w:color="auto" w:fill="BFBFBF" w:themeFill="background1" w:themeFillShade="BF"/>
        <w:tblLook w:val="04A0" w:firstRow="1" w:lastRow="0" w:firstColumn="1" w:lastColumn="0" w:noHBand="0" w:noVBand="1"/>
      </w:tblPr>
      <w:tblGrid>
        <w:gridCol w:w="9016"/>
      </w:tblGrid>
      <w:tr w:rsidR="00D90016" w:rsidTr="00D90016">
        <w:tc>
          <w:tcPr>
            <w:tcW w:w="9242" w:type="dxa"/>
            <w:shd w:val="clear" w:color="auto" w:fill="BFBFBF" w:themeFill="background1" w:themeFillShade="BF"/>
          </w:tcPr>
          <w:p w:rsidR="00D90016" w:rsidRPr="00EF6613" w:rsidRDefault="00D90016" w:rsidP="00D90016">
            <w:pPr>
              <w:jc w:val="center"/>
              <w:rPr>
                <w:rFonts w:ascii="Calibri" w:hAnsi="Calibri"/>
              </w:rPr>
            </w:pPr>
            <w:r w:rsidRPr="00EF6613">
              <w:rPr>
                <w:rFonts w:ascii="Verdana" w:hAnsi="Verdana" w:cs="Arial"/>
                <w:b/>
              </w:rPr>
              <w:t xml:space="preserve">ΤΑ ΣΗΜΑΝΤΙΚΟΤΕΡΑ </w:t>
            </w:r>
            <w:r>
              <w:rPr>
                <w:rFonts w:ascii="Verdana" w:hAnsi="Verdana" w:cs="Arial"/>
                <w:b/>
              </w:rPr>
              <w:t xml:space="preserve">ΕΛΛΗΝΙΚΑ </w:t>
            </w:r>
            <w:r w:rsidRPr="00EF6613">
              <w:rPr>
                <w:rFonts w:ascii="Verdana" w:hAnsi="Verdana" w:cs="Arial"/>
                <w:b/>
              </w:rPr>
              <w:t>ΕΞΑΓΩΓΙΜΑ ΠΡΟΪΟΝΤΑ ΠΡΟΣ ΑΖΕΡΜΠΑΪΤΖΑΝ</w:t>
            </w:r>
          </w:p>
          <w:p w:rsidR="00D90016" w:rsidRDefault="00D90016" w:rsidP="009D61BC">
            <w:pPr>
              <w:jc w:val="both"/>
              <w:rPr>
                <w:rFonts w:ascii="Verdana" w:hAnsi="Verdana" w:cs="Arial"/>
              </w:rPr>
            </w:pPr>
          </w:p>
        </w:tc>
      </w:tr>
    </w:tbl>
    <w:tbl>
      <w:tblPr>
        <w:tblW w:w="959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710"/>
        <w:gridCol w:w="5636"/>
        <w:gridCol w:w="2250"/>
      </w:tblGrid>
      <w:tr w:rsidR="009D61BC" w:rsidRPr="00EF6613" w:rsidTr="00D90016">
        <w:trPr>
          <w:trHeight w:val="683"/>
        </w:trPr>
        <w:tc>
          <w:tcPr>
            <w:tcW w:w="1710" w:type="dxa"/>
            <w:shd w:val="clear" w:color="auto" w:fill="BFBFBF" w:themeFill="background1" w:themeFillShade="BF"/>
            <w:hideMark/>
          </w:tcPr>
          <w:p w:rsidR="009D61BC" w:rsidRPr="00EF6613" w:rsidRDefault="009D61BC" w:rsidP="00C00E7E">
            <w:pPr>
              <w:jc w:val="center"/>
              <w:rPr>
                <w:rFonts w:ascii="Verdana" w:hAnsi="Verdana" w:cs="Arial"/>
                <w:b/>
                <w:lang w:val="en-US"/>
              </w:rPr>
            </w:pPr>
            <w:r w:rsidRPr="00EF6613">
              <w:rPr>
                <w:rFonts w:ascii="Verdana" w:hAnsi="Verdana" w:cs="Arial"/>
                <w:b/>
              </w:rPr>
              <w:t>ΚΩΔΙΚΟΣ Σ.Ο</w:t>
            </w:r>
          </w:p>
        </w:tc>
        <w:tc>
          <w:tcPr>
            <w:tcW w:w="5636" w:type="dxa"/>
            <w:shd w:val="clear" w:color="auto" w:fill="BFBFBF" w:themeFill="background1" w:themeFillShade="BF"/>
            <w:hideMark/>
          </w:tcPr>
          <w:p w:rsidR="009D61BC" w:rsidRPr="00EF6613" w:rsidRDefault="009D61BC" w:rsidP="00C00E7E">
            <w:pPr>
              <w:jc w:val="center"/>
              <w:rPr>
                <w:rFonts w:ascii="Verdana" w:hAnsi="Verdana" w:cs="Arial"/>
                <w:b/>
              </w:rPr>
            </w:pPr>
            <w:r w:rsidRPr="00EF6613">
              <w:rPr>
                <w:rFonts w:ascii="Verdana" w:hAnsi="Verdana" w:cs="Arial"/>
                <w:b/>
              </w:rPr>
              <w:t>ΠΕΡΙΓΡΑΦΗ ΕΜΠΟΡΕΥΜΑΤΩΝ</w:t>
            </w:r>
          </w:p>
        </w:tc>
        <w:tc>
          <w:tcPr>
            <w:tcW w:w="2250" w:type="dxa"/>
            <w:shd w:val="clear" w:color="auto" w:fill="BFBFBF" w:themeFill="background1" w:themeFillShade="BF"/>
            <w:hideMark/>
          </w:tcPr>
          <w:p w:rsidR="009D61BC" w:rsidRPr="00EF6613" w:rsidRDefault="009D61BC" w:rsidP="00C00E7E">
            <w:pPr>
              <w:jc w:val="center"/>
              <w:rPr>
                <w:rFonts w:ascii="Verdana" w:hAnsi="Verdana" w:cs="Arial"/>
                <w:b/>
              </w:rPr>
            </w:pPr>
            <w:r w:rsidRPr="00EF6613">
              <w:rPr>
                <w:rFonts w:ascii="Verdana" w:hAnsi="Verdana" w:cs="Arial"/>
                <w:b/>
              </w:rPr>
              <w:t xml:space="preserve">ΑΞΙΑ </w:t>
            </w:r>
            <w:r w:rsidR="00C00E7E">
              <w:rPr>
                <w:rFonts w:ascii="Verdana" w:hAnsi="Verdana" w:cs="Arial"/>
                <w:b/>
              </w:rPr>
              <w:t>(</w:t>
            </w:r>
            <w:r w:rsidRPr="00EF6613">
              <w:rPr>
                <w:rFonts w:ascii="Verdana" w:hAnsi="Verdana" w:cs="Arial"/>
                <w:b/>
              </w:rPr>
              <w:t xml:space="preserve">σε Ευρώ </w:t>
            </w:r>
            <w:r w:rsidR="00C00E7E">
              <w:rPr>
                <w:rFonts w:ascii="Verdana" w:hAnsi="Verdana" w:cs="Arial"/>
                <w:b/>
              </w:rPr>
              <w:t>)</w:t>
            </w:r>
          </w:p>
        </w:tc>
      </w:tr>
      <w:tr w:rsidR="00DE3363" w:rsidRPr="00EF6613" w:rsidTr="00D90016">
        <w:trPr>
          <w:trHeight w:val="440"/>
        </w:trPr>
        <w:tc>
          <w:tcPr>
            <w:tcW w:w="1710" w:type="dxa"/>
            <w:shd w:val="clear" w:color="auto" w:fill="BFBFBF" w:themeFill="background1" w:themeFillShade="BF"/>
            <w:hideMark/>
          </w:tcPr>
          <w:p w:rsidR="00DE3363" w:rsidRPr="00DE3363" w:rsidRDefault="00DE3363" w:rsidP="00C00E7E">
            <w:pPr>
              <w:rPr>
                <w:rFonts w:ascii="Verdana" w:hAnsi="Verdana" w:cs="Arial"/>
              </w:rPr>
            </w:pPr>
            <w:r>
              <w:rPr>
                <w:rFonts w:ascii="Verdana" w:hAnsi="Verdana" w:cs="Arial"/>
              </w:rPr>
              <w:t>8419</w:t>
            </w:r>
          </w:p>
        </w:tc>
        <w:tc>
          <w:tcPr>
            <w:tcW w:w="5636" w:type="dxa"/>
            <w:shd w:val="clear" w:color="auto" w:fill="BFBFBF" w:themeFill="background1" w:themeFillShade="BF"/>
            <w:hideMark/>
          </w:tcPr>
          <w:p w:rsidR="00DE3363" w:rsidRPr="00EF6613" w:rsidRDefault="00DE3363" w:rsidP="00C00E7E">
            <w:pPr>
              <w:rPr>
                <w:rFonts w:ascii="Verdana" w:hAnsi="Verdana" w:cs="Arial"/>
              </w:rPr>
            </w:pPr>
            <w:r w:rsidRPr="00DE3363">
              <w:rPr>
                <w:rFonts w:ascii="Verdana" w:hAnsi="Verdana" w:cs="Arial"/>
              </w:rPr>
              <w:t>Συσκευές και διατάξεις</w:t>
            </w:r>
          </w:p>
        </w:tc>
        <w:tc>
          <w:tcPr>
            <w:tcW w:w="2250" w:type="dxa"/>
            <w:shd w:val="clear" w:color="auto" w:fill="BFBFBF" w:themeFill="background1" w:themeFillShade="BF"/>
          </w:tcPr>
          <w:p w:rsidR="00DE3363" w:rsidRPr="00573914" w:rsidRDefault="00573914" w:rsidP="00573914">
            <w:pPr>
              <w:jc w:val="right"/>
              <w:rPr>
                <w:rFonts w:ascii="Verdana" w:hAnsi="Verdana" w:cs="Arial"/>
              </w:rPr>
            </w:pPr>
            <w:r>
              <w:rPr>
                <w:rFonts w:ascii="Verdana" w:hAnsi="Verdana" w:cs="Arial"/>
              </w:rPr>
              <w:t>2.689.500</w:t>
            </w:r>
          </w:p>
        </w:tc>
      </w:tr>
      <w:tr w:rsidR="00573914" w:rsidRPr="00EF6613" w:rsidTr="00D90016">
        <w:trPr>
          <w:trHeight w:val="440"/>
        </w:trPr>
        <w:tc>
          <w:tcPr>
            <w:tcW w:w="1710" w:type="dxa"/>
            <w:shd w:val="clear" w:color="auto" w:fill="BFBFBF" w:themeFill="background1" w:themeFillShade="BF"/>
            <w:hideMark/>
          </w:tcPr>
          <w:p w:rsidR="00573914" w:rsidRPr="00EF6613" w:rsidRDefault="00573914" w:rsidP="00F0622D">
            <w:pPr>
              <w:rPr>
                <w:rFonts w:ascii="Verdana" w:hAnsi="Verdana" w:cs="Arial"/>
                <w:lang w:val="en-US"/>
              </w:rPr>
            </w:pPr>
            <w:r w:rsidRPr="00EF6613">
              <w:rPr>
                <w:rFonts w:ascii="Verdana" w:hAnsi="Verdana" w:cs="Arial"/>
                <w:color w:val="000000"/>
              </w:rPr>
              <w:t>7607</w:t>
            </w:r>
          </w:p>
        </w:tc>
        <w:tc>
          <w:tcPr>
            <w:tcW w:w="5636" w:type="dxa"/>
            <w:shd w:val="clear" w:color="auto" w:fill="BFBFBF" w:themeFill="background1" w:themeFillShade="BF"/>
            <w:hideMark/>
          </w:tcPr>
          <w:p w:rsidR="00573914" w:rsidRPr="00EF6613" w:rsidRDefault="00573914" w:rsidP="00F0622D">
            <w:pPr>
              <w:rPr>
                <w:rFonts w:ascii="Verdana" w:hAnsi="Verdana" w:cs="Arial"/>
              </w:rPr>
            </w:pPr>
            <w:r w:rsidRPr="00EF6613">
              <w:rPr>
                <w:rFonts w:ascii="Verdana" w:hAnsi="Verdana" w:cs="Arial"/>
              </w:rPr>
              <w:t>Φύλλα και λεπτές ταινίες από αργίλιο</w:t>
            </w:r>
          </w:p>
        </w:tc>
        <w:tc>
          <w:tcPr>
            <w:tcW w:w="2250" w:type="dxa"/>
            <w:shd w:val="clear" w:color="auto" w:fill="BFBFBF" w:themeFill="background1" w:themeFillShade="BF"/>
          </w:tcPr>
          <w:p w:rsidR="00573914" w:rsidRDefault="00573914" w:rsidP="00573914">
            <w:pPr>
              <w:jc w:val="right"/>
              <w:rPr>
                <w:rFonts w:ascii="Verdana" w:hAnsi="Verdana" w:cs="Arial"/>
              </w:rPr>
            </w:pPr>
            <w:r>
              <w:rPr>
                <w:rFonts w:ascii="Verdana" w:hAnsi="Verdana" w:cs="Arial"/>
              </w:rPr>
              <w:t>951.676</w:t>
            </w:r>
          </w:p>
        </w:tc>
      </w:tr>
      <w:tr w:rsidR="00573914" w:rsidRPr="00EF6613" w:rsidTr="00D90016">
        <w:trPr>
          <w:trHeight w:val="440"/>
        </w:trPr>
        <w:tc>
          <w:tcPr>
            <w:tcW w:w="1710" w:type="dxa"/>
            <w:shd w:val="clear" w:color="auto" w:fill="BFBFBF" w:themeFill="background1" w:themeFillShade="BF"/>
            <w:hideMark/>
          </w:tcPr>
          <w:p w:rsidR="00573914" w:rsidRPr="00573914" w:rsidRDefault="00573914" w:rsidP="00C00E7E">
            <w:pPr>
              <w:rPr>
                <w:rFonts w:ascii="Verdana" w:hAnsi="Verdana" w:cs="Arial"/>
              </w:rPr>
            </w:pPr>
            <w:r>
              <w:rPr>
                <w:rFonts w:ascii="Verdana" w:hAnsi="Verdana" w:cs="Arial"/>
              </w:rPr>
              <w:t>2710</w:t>
            </w:r>
          </w:p>
        </w:tc>
        <w:tc>
          <w:tcPr>
            <w:tcW w:w="5636" w:type="dxa"/>
            <w:shd w:val="clear" w:color="auto" w:fill="BFBFBF" w:themeFill="background1" w:themeFillShade="BF"/>
            <w:hideMark/>
          </w:tcPr>
          <w:p w:rsidR="00573914" w:rsidRPr="00EF6613" w:rsidRDefault="00573914" w:rsidP="00C00E7E">
            <w:pPr>
              <w:rPr>
                <w:rFonts w:ascii="Verdana" w:hAnsi="Verdana" w:cs="Arial"/>
              </w:rPr>
            </w:pPr>
            <w:r w:rsidRPr="00573914">
              <w:rPr>
                <w:rFonts w:ascii="Verdana" w:hAnsi="Verdana" w:cs="Arial"/>
              </w:rPr>
              <w:t>Λάδια από πετρέλαιο ή από ασφαλτούχα ορυκτά</w:t>
            </w:r>
          </w:p>
        </w:tc>
        <w:tc>
          <w:tcPr>
            <w:tcW w:w="2250" w:type="dxa"/>
            <w:shd w:val="clear" w:color="auto" w:fill="BFBFBF" w:themeFill="background1" w:themeFillShade="BF"/>
          </w:tcPr>
          <w:p w:rsidR="00573914" w:rsidRPr="00573914" w:rsidRDefault="00573914" w:rsidP="00573914">
            <w:pPr>
              <w:jc w:val="right"/>
              <w:rPr>
                <w:rFonts w:ascii="Verdana" w:hAnsi="Verdana" w:cs="Arial"/>
              </w:rPr>
            </w:pPr>
            <w:r>
              <w:rPr>
                <w:rFonts w:ascii="Verdana" w:hAnsi="Verdana" w:cs="Arial"/>
              </w:rPr>
              <w:t>651.877</w:t>
            </w:r>
          </w:p>
        </w:tc>
      </w:tr>
      <w:tr w:rsidR="00573914" w:rsidRPr="00EF6613" w:rsidTr="00D90016">
        <w:trPr>
          <w:trHeight w:val="557"/>
        </w:trPr>
        <w:tc>
          <w:tcPr>
            <w:tcW w:w="1710" w:type="dxa"/>
            <w:shd w:val="clear" w:color="auto" w:fill="BFBFBF" w:themeFill="background1" w:themeFillShade="BF"/>
            <w:hideMark/>
          </w:tcPr>
          <w:p w:rsidR="00573914" w:rsidRPr="00EF6613" w:rsidRDefault="00573914" w:rsidP="00F0622D">
            <w:pPr>
              <w:rPr>
                <w:rFonts w:ascii="Verdana" w:hAnsi="Verdana" w:cs="Arial"/>
                <w:lang w:val="en-US"/>
              </w:rPr>
            </w:pPr>
            <w:r w:rsidRPr="00EF6613">
              <w:rPr>
                <w:rFonts w:ascii="Verdana" w:hAnsi="Verdana" w:cs="Arial"/>
                <w:lang w:val="en-US"/>
              </w:rPr>
              <w:t>3004</w:t>
            </w:r>
          </w:p>
        </w:tc>
        <w:tc>
          <w:tcPr>
            <w:tcW w:w="5636" w:type="dxa"/>
            <w:shd w:val="clear" w:color="auto" w:fill="BFBFBF" w:themeFill="background1" w:themeFillShade="BF"/>
            <w:hideMark/>
          </w:tcPr>
          <w:p w:rsidR="00573914" w:rsidRPr="00EF6613" w:rsidRDefault="00573914" w:rsidP="00F0622D">
            <w:pPr>
              <w:rPr>
                <w:rFonts w:ascii="Verdana" w:hAnsi="Verdana" w:cs="Arial"/>
              </w:rPr>
            </w:pPr>
            <w:r w:rsidRPr="00EF6613">
              <w:rPr>
                <w:rFonts w:ascii="Verdana" w:hAnsi="Verdana" w:cs="Arial"/>
              </w:rPr>
              <w:t>Φάρμακα</w:t>
            </w:r>
          </w:p>
        </w:tc>
        <w:tc>
          <w:tcPr>
            <w:tcW w:w="2250" w:type="dxa"/>
            <w:shd w:val="clear" w:color="auto" w:fill="BFBFBF" w:themeFill="background1" w:themeFillShade="BF"/>
          </w:tcPr>
          <w:p w:rsidR="00573914" w:rsidRPr="00573914" w:rsidRDefault="00573914" w:rsidP="00573914">
            <w:pPr>
              <w:jc w:val="right"/>
              <w:rPr>
                <w:rFonts w:ascii="Verdana" w:hAnsi="Verdana" w:cs="Arial"/>
              </w:rPr>
            </w:pPr>
            <w:r>
              <w:rPr>
                <w:rFonts w:ascii="Verdana" w:hAnsi="Verdana" w:cs="Arial"/>
              </w:rPr>
              <w:t>557.027</w:t>
            </w:r>
          </w:p>
        </w:tc>
      </w:tr>
      <w:tr w:rsidR="00CE694E" w:rsidRPr="00EF6613" w:rsidTr="00D90016">
        <w:trPr>
          <w:trHeight w:val="557"/>
        </w:trPr>
        <w:tc>
          <w:tcPr>
            <w:tcW w:w="1710" w:type="dxa"/>
            <w:shd w:val="clear" w:color="auto" w:fill="BFBFBF" w:themeFill="background1" w:themeFillShade="BF"/>
            <w:hideMark/>
          </w:tcPr>
          <w:p w:rsidR="00CE694E" w:rsidRPr="00EF6613" w:rsidRDefault="00CE694E" w:rsidP="00F0622D">
            <w:pPr>
              <w:rPr>
                <w:rFonts w:ascii="Verdana" w:hAnsi="Verdana" w:cs="Arial"/>
              </w:rPr>
            </w:pPr>
            <w:r w:rsidRPr="00EF6613">
              <w:rPr>
                <w:rFonts w:ascii="Verdana" w:hAnsi="Verdana"/>
                <w:color w:val="000000"/>
              </w:rPr>
              <w:t>6802</w:t>
            </w:r>
          </w:p>
        </w:tc>
        <w:tc>
          <w:tcPr>
            <w:tcW w:w="5636" w:type="dxa"/>
            <w:shd w:val="clear" w:color="auto" w:fill="BFBFBF" w:themeFill="background1" w:themeFillShade="BF"/>
            <w:hideMark/>
          </w:tcPr>
          <w:p w:rsidR="00CE694E" w:rsidRPr="00EF6613" w:rsidRDefault="00CE694E" w:rsidP="00F0622D">
            <w:pPr>
              <w:rPr>
                <w:rFonts w:ascii="Verdana" w:hAnsi="Verdana" w:cs="Arial"/>
              </w:rPr>
            </w:pPr>
            <w:r w:rsidRPr="00EF6613">
              <w:rPr>
                <w:rFonts w:ascii="Verdana" w:hAnsi="Verdana"/>
                <w:color w:val="000000"/>
              </w:rPr>
              <w:t>Πέτρες κατάλληλες για λάξευση ή για την οικοδομική, φυσικές</w:t>
            </w:r>
          </w:p>
        </w:tc>
        <w:tc>
          <w:tcPr>
            <w:tcW w:w="2250" w:type="dxa"/>
            <w:shd w:val="clear" w:color="auto" w:fill="BFBFBF" w:themeFill="background1" w:themeFillShade="BF"/>
          </w:tcPr>
          <w:p w:rsidR="00CE694E" w:rsidRDefault="006A044D" w:rsidP="00573914">
            <w:pPr>
              <w:jc w:val="right"/>
              <w:rPr>
                <w:rFonts w:ascii="Verdana" w:hAnsi="Verdana" w:cs="Arial"/>
              </w:rPr>
            </w:pPr>
            <w:r>
              <w:rPr>
                <w:rFonts w:ascii="Verdana" w:hAnsi="Verdana" w:cs="Arial"/>
              </w:rPr>
              <w:t>395.449</w:t>
            </w:r>
          </w:p>
        </w:tc>
      </w:tr>
      <w:tr w:rsidR="00CE694E" w:rsidRPr="00EF6613" w:rsidTr="00D90016">
        <w:trPr>
          <w:trHeight w:val="20"/>
        </w:trPr>
        <w:tc>
          <w:tcPr>
            <w:tcW w:w="1710" w:type="dxa"/>
            <w:shd w:val="clear" w:color="auto" w:fill="BFBFBF" w:themeFill="background1" w:themeFillShade="BF"/>
          </w:tcPr>
          <w:p w:rsidR="00CE694E" w:rsidRPr="00EF6613" w:rsidRDefault="00CE694E" w:rsidP="00F0622D">
            <w:pPr>
              <w:rPr>
                <w:rFonts w:ascii="Verdana" w:hAnsi="Verdana" w:cs="Arial"/>
              </w:rPr>
            </w:pPr>
            <w:r w:rsidRPr="00EF6613">
              <w:rPr>
                <w:rFonts w:ascii="Verdana" w:hAnsi="Verdana"/>
                <w:color w:val="000000"/>
              </w:rPr>
              <w:t>3920</w:t>
            </w:r>
          </w:p>
        </w:tc>
        <w:tc>
          <w:tcPr>
            <w:tcW w:w="5636" w:type="dxa"/>
            <w:shd w:val="clear" w:color="auto" w:fill="BFBFBF" w:themeFill="background1" w:themeFillShade="BF"/>
            <w:hideMark/>
          </w:tcPr>
          <w:p w:rsidR="00CE694E" w:rsidRPr="00EF6613" w:rsidRDefault="00CE694E" w:rsidP="006A044D">
            <w:pPr>
              <w:rPr>
                <w:rFonts w:ascii="Verdana" w:hAnsi="Verdana" w:cs="Arial"/>
              </w:rPr>
            </w:pPr>
            <w:r w:rsidRPr="00EF6613">
              <w:rPr>
                <w:rFonts w:ascii="Verdana" w:hAnsi="Verdana"/>
                <w:color w:val="000000"/>
              </w:rPr>
              <w:t xml:space="preserve">Πλάκες, φύλλα, </w:t>
            </w:r>
            <w:r>
              <w:rPr>
                <w:rFonts w:ascii="Verdana" w:hAnsi="Verdana"/>
                <w:color w:val="000000"/>
              </w:rPr>
              <w:t>μεμβράνες</w:t>
            </w:r>
            <w:r w:rsidRPr="00EF6613">
              <w:rPr>
                <w:rFonts w:ascii="Verdana" w:hAnsi="Verdana"/>
                <w:color w:val="000000"/>
              </w:rPr>
              <w:t xml:space="preserve"> από πλαστικές ύλες </w:t>
            </w:r>
          </w:p>
        </w:tc>
        <w:tc>
          <w:tcPr>
            <w:tcW w:w="2250" w:type="dxa"/>
            <w:shd w:val="clear" w:color="auto" w:fill="BFBFBF" w:themeFill="background1" w:themeFillShade="BF"/>
          </w:tcPr>
          <w:p w:rsidR="00CE694E" w:rsidRDefault="00CE694E" w:rsidP="00F0622D">
            <w:pPr>
              <w:jc w:val="right"/>
              <w:rPr>
                <w:rFonts w:ascii="Verdana" w:hAnsi="Verdana" w:cs="Arial"/>
              </w:rPr>
            </w:pPr>
            <w:r>
              <w:rPr>
                <w:rFonts w:ascii="Verdana" w:hAnsi="Verdana" w:cs="Arial"/>
              </w:rPr>
              <w:t>384.202</w:t>
            </w:r>
          </w:p>
        </w:tc>
      </w:tr>
      <w:tr w:rsidR="00CE694E" w:rsidRPr="00EF6613" w:rsidTr="00D90016">
        <w:trPr>
          <w:trHeight w:val="20"/>
        </w:trPr>
        <w:tc>
          <w:tcPr>
            <w:tcW w:w="1710" w:type="dxa"/>
            <w:shd w:val="clear" w:color="auto" w:fill="BFBFBF" w:themeFill="background1" w:themeFillShade="BF"/>
            <w:hideMark/>
          </w:tcPr>
          <w:p w:rsidR="00CE694E" w:rsidRPr="00EF6613" w:rsidRDefault="00CE694E" w:rsidP="00F0622D">
            <w:pPr>
              <w:rPr>
                <w:rFonts w:ascii="Verdana" w:hAnsi="Verdana" w:cs="Arial"/>
              </w:rPr>
            </w:pPr>
            <w:r w:rsidRPr="00EF6613">
              <w:rPr>
                <w:rFonts w:ascii="Verdana" w:hAnsi="Verdana"/>
                <w:color w:val="000000"/>
              </w:rPr>
              <w:t>1510</w:t>
            </w:r>
          </w:p>
        </w:tc>
        <w:tc>
          <w:tcPr>
            <w:tcW w:w="5636" w:type="dxa"/>
            <w:shd w:val="clear" w:color="auto" w:fill="BFBFBF" w:themeFill="background1" w:themeFillShade="BF"/>
            <w:hideMark/>
          </w:tcPr>
          <w:p w:rsidR="00CE694E" w:rsidRPr="00EF6613" w:rsidRDefault="00CE694E" w:rsidP="00F0622D">
            <w:pPr>
              <w:rPr>
                <w:rFonts w:ascii="Verdana" w:hAnsi="Verdana" w:cs="Arial"/>
              </w:rPr>
            </w:pPr>
            <w:r w:rsidRPr="00EF6613">
              <w:rPr>
                <w:rFonts w:ascii="Verdana" w:hAnsi="Verdana"/>
                <w:color w:val="000000"/>
              </w:rPr>
              <w:t>Λάδια και τα κλάσματά τους</w:t>
            </w:r>
          </w:p>
        </w:tc>
        <w:tc>
          <w:tcPr>
            <w:tcW w:w="2250" w:type="dxa"/>
            <w:shd w:val="clear" w:color="auto" w:fill="BFBFBF" w:themeFill="background1" w:themeFillShade="BF"/>
          </w:tcPr>
          <w:p w:rsidR="00CE694E" w:rsidRPr="00CE694E" w:rsidRDefault="00CE694E" w:rsidP="00F0622D">
            <w:pPr>
              <w:jc w:val="right"/>
              <w:rPr>
                <w:rFonts w:ascii="Verdana" w:hAnsi="Verdana" w:cs="Arial"/>
              </w:rPr>
            </w:pPr>
            <w:r>
              <w:rPr>
                <w:rFonts w:ascii="Verdana" w:hAnsi="Verdana" w:cs="Arial"/>
              </w:rPr>
              <w:t>367.004</w:t>
            </w:r>
          </w:p>
        </w:tc>
      </w:tr>
      <w:tr w:rsidR="00CE694E" w:rsidRPr="00EF6613" w:rsidTr="00D90016">
        <w:trPr>
          <w:trHeight w:val="20"/>
        </w:trPr>
        <w:tc>
          <w:tcPr>
            <w:tcW w:w="1710" w:type="dxa"/>
            <w:shd w:val="clear" w:color="auto" w:fill="BFBFBF" w:themeFill="background1" w:themeFillShade="BF"/>
          </w:tcPr>
          <w:p w:rsidR="00CE694E" w:rsidRPr="00EF6613" w:rsidRDefault="006A044D" w:rsidP="00F0622D">
            <w:pPr>
              <w:rPr>
                <w:rFonts w:ascii="Verdana" w:hAnsi="Verdana" w:cs="Arial"/>
              </w:rPr>
            </w:pPr>
            <w:r>
              <w:rPr>
                <w:rFonts w:ascii="Verdana" w:hAnsi="Verdana" w:cs="Arial"/>
              </w:rPr>
              <w:t>5607</w:t>
            </w:r>
          </w:p>
        </w:tc>
        <w:tc>
          <w:tcPr>
            <w:tcW w:w="5636" w:type="dxa"/>
            <w:shd w:val="clear" w:color="auto" w:fill="BFBFBF" w:themeFill="background1" w:themeFillShade="BF"/>
            <w:hideMark/>
          </w:tcPr>
          <w:p w:rsidR="00CE694E" w:rsidRPr="00EF6613" w:rsidRDefault="006A044D" w:rsidP="00F0622D">
            <w:pPr>
              <w:rPr>
                <w:rFonts w:ascii="Verdana" w:hAnsi="Verdana" w:cs="Arial"/>
              </w:rPr>
            </w:pPr>
            <w:r w:rsidRPr="006A044D">
              <w:rPr>
                <w:rFonts w:ascii="Verdana" w:hAnsi="Verdana" w:cs="Arial"/>
              </w:rPr>
              <w:t>Σπάγκοι, σχοινιά</w:t>
            </w:r>
          </w:p>
        </w:tc>
        <w:tc>
          <w:tcPr>
            <w:tcW w:w="2250" w:type="dxa"/>
            <w:shd w:val="clear" w:color="auto" w:fill="BFBFBF" w:themeFill="background1" w:themeFillShade="BF"/>
          </w:tcPr>
          <w:p w:rsidR="00CE694E" w:rsidRPr="006A044D" w:rsidRDefault="006A044D" w:rsidP="00F0622D">
            <w:pPr>
              <w:jc w:val="right"/>
              <w:rPr>
                <w:rFonts w:ascii="Verdana" w:hAnsi="Verdana" w:cs="Arial"/>
              </w:rPr>
            </w:pPr>
            <w:r>
              <w:rPr>
                <w:rFonts w:ascii="Verdana" w:hAnsi="Verdana" w:cs="Arial"/>
              </w:rPr>
              <w:t>350.372</w:t>
            </w:r>
          </w:p>
        </w:tc>
      </w:tr>
      <w:tr w:rsidR="006A044D" w:rsidRPr="00EF6613" w:rsidTr="00D90016">
        <w:trPr>
          <w:trHeight w:val="20"/>
        </w:trPr>
        <w:tc>
          <w:tcPr>
            <w:tcW w:w="1710" w:type="dxa"/>
            <w:shd w:val="clear" w:color="auto" w:fill="BFBFBF" w:themeFill="background1" w:themeFillShade="BF"/>
            <w:hideMark/>
          </w:tcPr>
          <w:p w:rsidR="006A044D" w:rsidRPr="00EF6613" w:rsidRDefault="006A044D" w:rsidP="00F0622D">
            <w:pPr>
              <w:rPr>
                <w:rFonts w:ascii="Verdana" w:hAnsi="Verdana" w:cs="Arial"/>
              </w:rPr>
            </w:pPr>
            <w:r w:rsidRPr="00EF6613">
              <w:rPr>
                <w:rFonts w:ascii="Verdana" w:hAnsi="Verdana"/>
                <w:color w:val="000000"/>
              </w:rPr>
              <w:t>2007</w:t>
            </w:r>
          </w:p>
        </w:tc>
        <w:tc>
          <w:tcPr>
            <w:tcW w:w="5636" w:type="dxa"/>
            <w:shd w:val="clear" w:color="auto" w:fill="BFBFBF" w:themeFill="background1" w:themeFillShade="BF"/>
            <w:hideMark/>
          </w:tcPr>
          <w:p w:rsidR="006A044D" w:rsidRPr="00EF6613" w:rsidRDefault="006A044D" w:rsidP="00F0622D">
            <w:pPr>
              <w:rPr>
                <w:rFonts w:ascii="Verdana" w:hAnsi="Verdana" w:cs="Arial"/>
              </w:rPr>
            </w:pPr>
            <w:r w:rsidRPr="00EF6613">
              <w:rPr>
                <w:rFonts w:ascii="Verdana" w:hAnsi="Verdana"/>
                <w:color w:val="000000"/>
              </w:rPr>
              <w:t>Γλυκά κουταλιού, ζελέδες, μαρμελάδες</w:t>
            </w:r>
          </w:p>
        </w:tc>
        <w:tc>
          <w:tcPr>
            <w:tcW w:w="2250" w:type="dxa"/>
            <w:shd w:val="clear" w:color="auto" w:fill="BFBFBF" w:themeFill="background1" w:themeFillShade="BF"/>
          </w:tcPr>
          <w:p w:rsidR="006A044D" w:rsidRPr="006A044D" w:rsidRDefault="006A044D" w:rsidP="00F0622D">
            <w:pPr>
              <w:jc w:val="right"/>
              <w:rPr>
                <w:rFonts w:ascii="Verdana" w:hAnsi="Verdana" w:cs="Arial"/>
              </w:rPr>
            </w:pPr>
            <w:r>
              <w:rPr>
                <w:rFonts w:ascii="Verdana" w:hAnsi="Verdana" w:cs="Arial"/>
              </w:rPr>
              <w:t>202.842</w:t>
            </w:r>
          </w:p>
        </w:tc>
      </w:tr>
      <w:tr w:rsidR="006A044D" w:rsidRPr="00EF6613" w:rsidTr="00D90016">
        <w:trPr>
          <w:trHeight w:val="20"/>
        </w:trPr>
        <w:tc>
          <w:tcPr>
            <w:tcW w:w="1710" w:type="dxa"/>
            <w:shd w:val="clear" w:color="auto" w:fill="BFBFBF" w:themeFill="background1" w:themeFillShade="BF"/>
          </w:tcPr>
          <w:p w:rsidR="006A044D" w:rsidRPr="00EF6613" w:rsidRDefault="006A044D" w:rsidP="00C00E7E">
            <w:pPr>
              <w:rPr>
                <w:rFonts w:ascii="Verdana" w:hAnsi="Verdana" w:cs="Arial"/>
              </w:rPr>
            </w:pPr>
            <w:r>
              <w:rPr>
                <w:rFonts w:ascii="Verdana" w:hAnsi="Verdana"/>
                <w:color w:val="000000"/>
              </w:rPr>
              <w:t>3506</w:t>
            </w:r>
          </w:p>
        </w:tc>
        <w:tc>
          <w:tcPr>
            <w:tcW w:w="5636" w:type="dxa"/>
            <w:shd w:val="clear" w:color="auto" w:fill="BFBFBF" w:themeFill="background1" w:themeFillShade="BF"/>
            <w:hideMark/>
          </w:tcPr>
          <w:p w:rsidR="006A044D" w:rsidRPr="00EF6613" w:rsidRDefault="006A044D" w:rsidP="00C00E7E">
            <w:pPr>
              <w:rPr>
                <w:rFonts w:ascii="Verdana" w:hAnsi="Verdana" w:cs="Arial"/>
              </w:rPr>
            </w:pPr>
            <w:r w:rsidRPr="006A044D">
              <w:rPr>
                <w:rFonts w:ascii="Verdana" w:hAnsi="Verdana" w:cs="Arial"/>
              </w:rPr>
              <w:t>Κόλλες και άλλα παρασκευασμένα συγκολλητικά</w:t>
            </w:r>
          </w:p>
        </w:tc>
        <w:tc>
          <w:tcPr>
            <w:tcW w:w="2250" w:type="dxa"/>
            <w:shd w:val="clear" w:color="auto" w:fill="BFBFBF" w:themeFill="background1" w:themeFillShade="BF"/>
          </w:tcPr>
          <w:p w:rsidR="006A044D" w:rsidRPr="006A044D" w:rsidRDefault="006A044D" w:rsidP="006A044D">
            <w:pPr>
              <w:jc w:val="right"/>
              <w:rPr>
                <w:rFonts w:ascii="Verdana" w:hAnsi="Verdana" w:cs="Arial"/>
                <w:color w:val="000000"/>
              </w:rPr>
            </w:pPr>
            <w:r>
              <w:rPr>
                <w:rFonts w:ascii="Verdana" w:hAnsi="Verdana" w:cs="Arial"/>
                <w:color w:val="000000"/>
              </w:rPr>
              <w:t>186.505</w:t>
            </w:r>
          </w:p>
        </w:tc>
      </w:tr>
    </w:tbl>
    <w:p w:rsidR="009D61BC" w:rsidRPr="00EF6613" w:rsidRDefault="009D61BC" w:rsidP="009D61BC">
      <w:pPr>
        <w:rPr>
          <w:rFonts w:ascii="Verdana" w:hAnsi="Verdana" w:cs="Arial"/>
        </w:rPr>
      </w:pPr>
      <w:r w:rsidRPr="00EF6613">
        <w:rPr>
          <w:rFonts w:ascii="Verdana" w:hAnsi="Verdana" w:cs="Arial"/>
          <w:b/>
        </w:rPr>
        <w:t>Πηγή :</w:t>
      </w:r>
      <w:r w:rsidRPr="00EF6613">
        <w:rPr>
          <w:rFonts w:ascii="Verdana" w:hAnsi="Verdana" w:cs="Arial"/>
        </w:rPr>
        <w:t xml:space="preserve"> ΕΛΣΤΑΤ, Επεξεργασία Γραφείου ΟΕΥ</w:t>
      </w:r>
    </w:p>
    <w:p w:rsidR="00D90016" w:rsidRDefault="00D90016" w:rsidP="009D61BC">
      <w:pPr>
        <w:jc w:val="both"/>
        <w:rPr>
          <w:rFonts w:ascii="Verdana" w:hAnsi="Verdana" w:cs="Arial"/>
          <w:b/>
          <w:sz w:val="24"/>
          <w:szCs w:val="24"/>
        </w:rPr>
      </w:pPr>
    </w:p>
    <w:p w:rsidR="009D61BC" w:rsidRPr="00EF6613" w:rsidRDefault="00087891" w:rsidP="009D61BC">
      <w:pPr>
        <w:jc w:val="both"/>
        <w:rPr>
          <w:rFonts w:ascii="Verdana" w:hAnsi="Verdana" w:cs="Arial"/>
          <w:b/>
          <w:sz w:val="24"/>
          <w:szCs w:val="24"/>
        </w:rPr>
      </w:pPr>
      <w:r>
        <w:rPr>
          <w:rFonts w:ascii="Verdana" w:hAnsi="Verdana" w:cs="Arial"/>
          <w:b/>
          <w:sz w:val="24"/>
          <w:szCs w:val="24"/>
        </w:rPr>
        <w:lastRenderedPageBreak/>
        <w:t>3</w:t>
      </w:r>
      <w:r w:rsidR="009D61BC" w:rsidRPr="00EF6613">
        <w:rPr>
          <w:rFonts w:ascii="Verdana" w:hAnsi="Verdana" w:cs="Arial"/>
          <w:b/>
          <w:sz w:val="24"/>
          <w:szCs w:val="24"/>
        </w:rPr>
        <w:t>. ΕΛΛΗΝΙΚΕΣ ΕΙΣΑΓΩΓΕΣ</w:t>
      </w:r>
    </w:p>
    <w:p w:rsidR="009D61BC" w:rsidRPr="00EF6613" w:rsidRDefault="009D61BC" w:rsidP="009D61BC">
      <w:pPr>
        <w:jc w:val="both"/>
        <w:rPr>
          <w:rFonts w:ascii="Verdana" w:hAnsi="Verdana" w:cs="Arial"/>
        </w:rPr>
      </w:pPr>
      <w:r w:rsidRPr="00EF6613">
        <w:rPr>
          <w:rFonts w:ascii="Verdana" w:hAnsi="Verdana" w:cs="Arial"/>
          <w:b/>
        </w:rPr>
        <w:t xml:space="preserve">Στις </w:t>
      </w:r>
      <w:r w:rsidR="00A53AAC">
        <w:rPr>
          <w:rFonts w:ascii="Verdana" w:hAnsi="Verdana" w:cs="Arial"/>
          <w:b/>
        </w:rPr>
        <w:t>ελληνικές εισαγωγές</w:t>
      </w:r>
      <w:r w:rsidRPr="00EF6613">
        <w:rPr>
          <w:rFonts w:ascii="Verdana" w:hAnsi="Verdana" w:cs="Arial"/>
        </w:rPr>
        <w:t xml:space="preserve">  </w:t>
      </w:r>
      <w:r w:rsidR="00A53AAC">
        <w:rPr>
          <w:rFonts w:ascii="Verdana" w:hAnsi="Verdana" w:cs="Arial"/>
        </w:rPr>
        <w:t>από το Αζερμπαϊτζάν</w:t>
      </w:r>
      <w:r w:rsidRPr="00EF6613">
        <w:rPr>
          <w:rFonts w:ascii="Verdana" w:hAnsi="Verdana" w:cs="Arial"/>
        </w:rPr>
        <w:t xml:space="preserve"> κυριαρχούν απόλυτα  και παραδοσιακά </w:t>
      </w:r>
      <w:r w:rsidRPr="00EF6613">
        <w:rPr>
          <w:rFonts w:ascii="Verdana" w:hAnsi="Verdana" w:cs="Arial"/>
          <w:b/>
        </w:rPr>
        <w:t>τα πετρελαιοειδή</w:t>
      </w:r>
      <w:r w:rsidRPr="00EF6613">
        <w:rPr>
          <w:rFonts w:ascii="Verdana" w:hAnsi="Verdana" w:cs="Arial"/>
        </w:rPr>
        <w:t xml:space="preserve"> (Κωδικός Σ.Ο.2709) με </w:t>
      </w:r>
      <w:r w:rsidR="00982A4D">
        <w:rPr>
          <w:rFonts w:ascii="Verdana" w:hAnsi="Verdana" w:cs="Arial"/>
        </w:rPr>
        <w:t>89,8</w:t>
      </w:r>
      <w:r w:rsidRPr="00EF6613">
        <w:rPr>
          <w:rFonts w:ascii="Verdana" w:hAnsi="Verdana" w:cs="Arial"/>
        </w:rPr>
        <w:t>% επί του συνόλου. Ακολουθ</w:t>
      </w:r>
      <w:r w:rsidR="00982A4D">
        <w:rPr>
          <w:rFonts w:ascii="Verdana" w:hAnsi="Verdana" w:cs="Arial"/>
        </w:rPr>
        <w:t>εί</w:t>
      </w:r>
      <w:r w:rsidRPr="00EF6613">
        <w:rPr>
          <w:rFonts w:ascii="Verdana" w:hAnsi="Verdana" w:cs="Arial"/>
        </w:rPr>
        <w:t xml:space="preserve"> το αργίλιο σε ακατέργαστη μορφή με </w:t>
      </w:r>
      <w:r w:rsidR="00982A4D">
        <w:rPr>
          <w:rFonts w:ascii="Verdana" w:hAnsi="Verdana" w:cs="Arial"/>
        </w:rPr>
        <w:t>9,8%</w:t>
      </w:r>
      <w:r w:rsidRPr="00EF6613">
        <w:rPr>
          <w:rFonts w:ascii="Verdana" w:hAnsi="Verdana" w:cs="Arial"/>
        </w:rPr>
        <w:t>%.</w:t>
      </w:r>
    </w:p>
    <w:p w:rsidR="009D61BC" w:rsidRPr="00EF6613" w:rsidRDefault="00087891" w:rsidP="009D61BC">
      <w:pPr>
        <w:rPr>
          <w:rFonts w:ascii="Verdana" w:hAnsi="Verdana"/>
          <w:b/>
          <w:sz w:val="24"/>
          <w:szCs w:val="24"/>
        </w:rPr>
      </w:pPr>
      <w:r>
        <w:rPr>
          <w:rFonts w:ascii="Verdana" w:hAnsi="Verdana"/>
          <w:b/>
          <w:sz w:val="24"/>
          <w:szCs w:val="24"/>
        </w:rPr>
        <w:t>4</w:t>
      </w:r>
      <w:r w:rsidR="009D61BC" w:rsidRPr="00EF6613">
        <w:rPr>
          <w:rFonts w:ascii="Verdana" w:hAnsi="Verdana"/>
          <w:b/>
          <w:sz w:val="24"/>
          <w:szCs w:val="24"/>
        </w:rPr>
        <w:t>.  ΔΙΑΠΙΣΤΩΣΕΙΣ-ΣΥΜΠΕΡΑΣΜΑΤΑ-ΠΡΟΤΑΣΕΙΣ</w:t>
      </w:r>
    </w:p>
    <w:p w:rsidR="009D61BC" w:rsidRPr="00EF6613" w:rsidRDefault="00AD5542" w:rsidP="000524D0">
      <w:pPr>
        <w:jc w:val="both"/>
        <w:rPr>
          <w:rFonts w:ascii="Verdana" w:hAnsi="Verdana"/>
        </w:rPr>
      </w:pPr>
      <w:r w:rsidRPr="00087891">
        <w:rPr>
          <w:rFonts w:ascii="Verdana" w:hAnsi="Verdana"/>
        </w:rPr>
        <w:t xml:space="preserve">Όπως αναλύθηκε στο κεφάλαιο περί </w:t>
      </w:r>
      <w:proofErr w:type="spellStart"/>
      <w:r w:rsidRPr="00087891">
        <w:rPr>
          <w:rFonts w:ascii="Verdana" w:hAnsi="Verdana"/>
        </w:rPr>
        <w:t>αζερικών</w:t>
      </w:r>
      <w:proofErr w:type="spellEnd"/>
      <w:r w:rsidRPr="00087891">
        <w:rPr>
          <w:rFonts w:ascii="Verdana" w:hAnsi="Verdana"/>
        </w:rPr>
        <w:t xml:space="preserve"> εισαγωγών τ</w:t>
      </w:r>
      <w:r w:rsidR="009D61BC" w:rsidRPr="00087891">
        <w:rPr>
          <w:rFonts w:ascii="Verdana" w:hAnsi="Verdana"/>
        </w:rPr>
        <w:t xml:space="preserve">ο Αζερμπαϊτζάν παραμένει, σε γενικές γραμμές και με λίγες μόνον εξαιρέσεις, </w:t>
      </w:r>
      <w:r w:rsidR="009D61BC" w:rsidRPr="00087891">
        <w:rPr>
          <w:rFonts w:ascii="Verdana" w:hAnsi="Verdana"/>
          <w:b/>
        </w:rPr>
        <w:t>μια «κλειστή» αγορά,</w:t>
      </w:r>
      <w:r w:rsidR="009D61BC" w:rsidRPr="00087891">
        <w:rPr>
          <w:rFonts w:ascii="Verdana" w:hAnsi="Verdana"/>
        </w:rPr>
        <w:t xml:space="preserve"> ιδίως για τα</w:t>
      </w:r>
      <w:r w:rsidRPr="00087891">
        <w:rPr>
          <w:rFonts w:ascii="Verdana" w:hAnsi="Verdana"/>
        </w:rPr>
        <w:t xml:space="preserve"> ευρωπαϊκής προέλευσης προϊόντα. Ακολουθείται</w:t>
      </w:r>
      <w:r w:rsidR="009D61BC" w:rsidRPr="00087891">
        <w:rPr>
          <w:rFonts w:ascii="Verdana" w:hAnsi="Verdana"/>
        </w:rPr>
        <w:t xml:space="preserve"> </w:t>
      </w:r>
      <w:r w:rsidR="009D61BC" w:rsidRPr="00087891">
        <w:rPr>
          <w:rFonts w:ascii="Verdana" w:hAnsi="Verdana"/>
          <w:b/>
          <w:bCs/>
        </w:rPr>
        <w:t>συνειδητή πολιτική υποκατάστασης εισαγωγών</w:t>
      </w:r>
      <w:r w:rsidR="009D61BC" w:rsidRPr="00087891">
        <w:rPr>
          <w:rFonts w:ascii="Verdana" w:hAnsi="Verdana"/>
        </w:rPr>
        <w:t xml:space="preserve"> (</w:t>
      </w:r>
      <w:r w:rsidR="009D61BC" w:rsidRPr="00087891">
        <w:rPr>
          <w:rFonts w:ascii="Verdana" w:hAnsi="Verdana"/>
          <w:i/>
          <w:iCs/>
        </w:rPr>
        <w:t>υψηλοί δασμοί και λοιπά εμπόδια πρόσβασης</w:t>
      </w:r>
      <w:r w:rsidR="009D61BC" w:rsidRPr="00087891">
        <w:rPr>
          <w:rFonts w:ascii="Verdana" w:hAnsi="Verdana"/>
        </w:rPr>
        <w:t>)</w:t>
      </w:r>
      <w:r w:rsidRPr="00087891">
        <w:rPr>
          <w:rFonts w:ascii="Verdana" w:hAnsi="Verdana"/>
        </w:rPr>
        <w:t xml:space="preserve"> και </w:t>
      </w:r>
      <w:r w:rsidR="009D61BC" w:rsidRPr="00087891">
        <w:rPr>
          <w:rFonts w:ascii="Verdana" w:hAnsi="Verdana"/>
        </w:rPr>
        <w:t xml:space="preserve">μόνον </w:t>
      </w:r>
      <w:r w:rsidR="009D61BC" w:rsidRPr="00087891">
        <w:rPr>
          <w:rFonts w:ascii="Verdana" w:hAnsi="Verdana"/>
          <w:b/>
        </w:rPr>
        <w:t xml:space="preserve">οι χώρες με αυξημένο </w:t>
      </w:r>
      <w:r w:rsidR="009D61BC" w:rsidRPr="00087891">
        <w:rPr>
          <w:rFonts w:ascii="Verdana" w:hAnsi="Verdana"/>
          <w:b/>
          <w:i/>
          <w:iCs/>
        </w:rPr>
        <w:t>«γεωπολιτικό βάρος»</w:t>
      </w:r>
      <w:r w:rsidR="009D61BC" w:rsidRPr="00087891">
        <w:rPr>
          <w:rFonts w:ascii="Verdana" w:hAnsi="Verdana"/>
        </w:rPr>
        <w:t xml:space="preserve"> ή, έστω, με ισχυρά συγκριτικά πλεονεκτήματα επιτυγχάνουν επαρκή διείσδυση στην αγορά</w:t>
      </w:r>
      <w:r w:rsidRPr="00087891">
        <w:rPr>
          <w:rFonts w:ascii="Verdana" w:hAnsi="Verdana"/>
        </w:rPr>
        <w:t>.</w:t>
      </w:r>
      <w:r w:rsidR="009D61BC" w:rsidRPr="00087891">
        <w:rPr>
          <w:rFonts w:ascii="Verdana" w:hAnsi="Verdana"/>
        </w:rPr>
        <w:t xml:space="preserve"> </w:t>
      </w:r>
      <w:r w:rsidR="009D61BC" w:rsidRPr="00EF6613">
        <w:rPr>
          <w:rFonts w:ascii="Verdana" w:hAnsi="Verdana"/>
        </w:rPr>
        <w:tab/>
      </w:r>
    </w:p>
    <w:p w:rsidR="009D61BC" w:rsidRPr="00EF6613" w:rsidRDefault="009D61BC" w:rsidP="000524D0">
      <w:pPr>
        <w:pStyle w:val="Web"/>
        <w:spacing w:before="0" w:beforeAutospacing="0" w:after="0" w:afterAutospacing="0"/>
        <w:jc w:val="both"/>
        <w:rPr>
          <w:rFonts w:ascii="Verdana" w:hAnsi="Verdana"/>
          <w:sz w:val="22"/>
          <w:szCs w:val="22"/>
          <w:lang w:val="el-GR"/>
        </w:rPr>
      </w:pPr>
      <w:r w:rsidRPr="00EF6613">
        <w:rPr>
          <w:rFonts w:ascii="Verdana" w:hAnsi="Verdana"/>
          <w:b/>
          <w:sz w:val="22"/>
          <w:szCs w:val="22"/>
          <w:lang w:val="el-GR"/>
        </w:rPr>
        <w:t xml:space="preserve">Για τις </w:t>
      </w:r>
      <w:proofErr w:type="spellStart"/>
      <w:r w:rsidRPr="00EF6613">
        <w:rPr>
          <w:rFonts w:ascii="Verdana" w:hAnsi="Verdana"/>
          <w:b/>
          <w:sz w:val="22"/>
          <w:szCs w:val="22"/>
          <w:lang w:val="el-GR"/>
        </w:rPr>
        <w:t>σημαντικώτερες</w:t>
      </w:r>
      <w:proofErr w:type="spellEnd"/>
      <w:r w:rsidRPr="00EF6613">
        <w:rPr>
          <w:rFonts w:ascii="Verdana" w:hAnsi="Verdana"/>
          <w:b/>
          <w:sz w:val="22"/>
          <w:szCs w:val="22"/>
          <w:lang w:val="el-GR"/>
        </w:rPr>
        <w:t xml:space="preserve"> κατηγορίες ελληνικών εξαγώγιμων προϊόντων</w:t>
      </w:r>
      <w:r w:rsidRPr="00EF6613">
        <w:rPr>
          <w:rFonts w:ascii="Verdana" w:hAnsi="Verdana"/>
          <w:sz w:val="22"/>
          <w:szCs w:val="22"/>
          <w:lang w:val="el-GR"/>
        </w:rPr>
        <w:t xml:space="preserve"> (ελαιόλαδο, γαλακτοκομικά, φρούτα και λαχανικά, οίνοι, δομικά υλικά ) υφίστανται, πέραν των ανωτέρω δυσμενών συνθηκών και επιπρόσθετες δυσκολίες διείσδυσης λόγω των κατωτέρω παραγόντων:</w:t>
      </w:r>
    </w:p>
    <w:p w:rsidR="009D61BC" w:rsidRPr="00EF6613" w:rsidRDefault="009D61BC" w:rsidP="009D61BC">
      <w:pPr>
        <w:pStyle w:val="aa"/>
        <w:rPr>
          <w:rFonts w:ascii="Verdana" w:hAnsi="Verdana"/>
          <w:sz w:val="22"/>
          <w:szCs w:val="22"/>
        </w:rPr>
      </w:pPr>
    </w:p>
    <w:p w:rsidR="009D61BC" w:rsidRPr="00EF6613" w:rsidRDefault="00E44CA9" w:rsidP="00087891">
      <w:pPr>
        <w:pStyle w:val="Web"/>
        <w:numPr>
          <w:ilvl w:val="0"/>
          <w:numId w:val="43"/>
        </w:numPr>
        <w:spacing w:before="0" w:beforeAutospacing="0" w:after="0" w:afterAutospacing="0"/>
        <w:jc w:val="both"/>
        <w:rPr>
          <w:rFonts w:ascii="Verdana" w:hAnsi="Verdana"/>
          <w:sz w:val="22"/>
          <w:szCs w:val="22"/>
          <w:lang w:val="el-GR"/>
        </w:rPr>
      </w:pPr>
      <w:r>
        <w:rPr>
          <w:rFonts w:ascii="Verdana" w:hAnsi="Verdana"/>
          <w:b/>
          <w:sz w:val="22"/>
          <w:szCs w:val="22"/>
          <w:lang w:val="el-GR"/>
        </w:rPr>
        <w:t>Όπως προαναφέραμε, τ</w:t>
      </w:r>
      <w:r w:rsidR="009D61BC" w:rsidRPr="00EF6613">
        <w:rPr>
          <w:rFonts w:ascii="Verdana" w:hAnsi="Verdana"/>
          <w:b/>
          <w:sz w:val="22"/>
          <w:szCs w:val="22"/>
          <w:lang w:val="el-GR"/>
        </w:rPr>
        <w:t>ο Αζερμπαϊτζάν δεν είναι πλούσια χώρα</w:t>
      </w:r>
      <w:r w:rsidR="009D61BC" w:rsidRPr="00EF6613">
        <w:rPr>
          <w:rFonts w:ascii="Verdana" w:hAnsi="Verdana"/>
          <w:sz w:val="22"/>
          <w:szCs w:val="22"/>
          <w:lang w:val="el-GR"/>
        </w:rPr>
        <w:t>, και</w:t>
      </w:r>
      <w:r>
        <w:rPr>
          <w:rFonts w:ascii="Verdana" w:hAnsi="Verdana"/>
          <w:sz w:val="22"/>
          <w:szCs w:val="22"/>
          <w:lang w:val="el-GR"/>
        </w:rPr>
        <w:t xml:space="preserve"> </w:t>
      </w:r>
      <w:r w:rsidR="009D61BC" w:rsidRPr="00EF6613">
        <w:rPr>
          <w:rFonts w:ascii="Verdana" w:hAnsi="Verdana"/>
          <w:sz w:val="22"/>
          <w:szCs w:val="22"/>
          <w:lang w:val="el-GR"/>
        </w:rPr>
        <w:t xml:space="preserve">ελάχιστη σχέση έχει με τις ελεύθερες αγορές, στις οποίες ήδη εξάγονται τα ελληνικά ποιοτικά προϊόντα. </w:t>
      </w:r>
      <w:r w:rsidR="001E619A">
        <w:rPr>
          <w:rFonts w:ascii="Verdana" w:hAnsi="Verdana"/>
          <w:sz w:val="22"/>
          <w:szCs w:val="22"/>
          <w:lang w:val="el-GR"/>
        </w:rPr>
        <w:t>Κ</w:t>
      </w:r>
      <w:r w:rsidR="009D61BC" w:rsidRPr="00EF6613">
        <w:rPr>
          <w:rFonts w:ascii="Verdana" w:hAnsi="Verdana"/>
          <w:sz w:val="22"/>
          <w:szCs w:val="22"/>
          <w:lang w:val="el-GR"/>
        </w:rPr>
        <w:t xml:space="preserve">υριαρχούν μονοπώλια και ολιγοπώλια, με ισχυρές διασυνδέσεις και αλληλεξαρτήσεις από το συγκεντρωτικό πολιτικοοικονομικό σύστημα. Αναφέρουμε ενδεικτικά ένα πανίσχυρο όμιλο -με πολιτική στήριξη στο ανώτατο δυνατό επίπεδο- την </w:t>
      </w:r>
      <w:proofErr w:type="spellStart"/>
      <w:r w:rsidR="009D61BC" w:rsidRPr="00EF6613">
        <w:rPr>
          <w:rFonts w:ascii="Verdana" w:hAnsi="Verdana"/>
          <w:sz w:val="22"/>
          <w:szCs w:val="22"/>
        </w:rPr>
        <w:t>Azersun</w:t>
      </w:r>
      <w:proofErr w:type="spellEnd"/>
      <w:r w:rsidR="009D61BC" w:rsidRPr="00EF6613">
        <w:rPr>
          <w:rFonts w:ascii="Verdana" w:hAnsi="Verdana"/>
          <w:sz w:val="22"/>
          <w:szCs w:val="22"/>
          <w:lang w:val="el-GR"/>
        </w:rPr>
        <w:t xml:space="preserve"> </w:t>
      </w:r>
      <w:r w:rsidR="009D61BC" w:rsidRPr="00EF6613">
        <w:rPr>
          <w:rFonts w:ascii="Verdana" w:hAnsi="Verdana"/>
          <w:sz w:val="22"/>
          <w:szCs w:val="22"/>
        </w:rPr>
        <w:t>Holding</w:t>
      </w:r>
      <w:r w:rsidR="009D61BC" w:rsidRPr="00EF6613">
        <w:rPr>
          <w:rFonts w:ascii="Verdana" w:hAnsi="Verdana"/>
          <w:sz w:val="22"/>
          <w:szCs w:val="22"/>
          <w:lang w:val="el-GR"/>
        </w:rPr>
        <w:t>, η οποία διαθέτει,  μεταξύ άλλων, και δική της τυποποίηση ελαιολάδου. Ο στόχος τους είναι το τοπικό ελαιόλαδο</w:t>
      </w:r>
      <w:r w:rsidR="007A72FD">
        <w:rPr>
          <w:rFonts w:ascii="Verdana" w:hAnsi="Verdana"/>
          <w:sz w:val="22"/>
          <w:szCs w:val="22"/>
          <w:lang w:val="el-GR"/>
        </w:rPr>
        <w:t>,</w:t>
      </w:r>
      <w:r w:rsidR="009D61BC" w:rsidRPr="00EF6613">
        <w:rPr>
          <w:rFonts w:ascii="Verdana" w:hAnsi="Verdana"/>
          <w:sz w:val="22"/>
          <w:szCs w:val="22"/>
          <w:lang w:val="el-GR"/>
        </w:rPr>
        <w:t xml:space="preserve"> βαθμιαία</w:t>
      </w:r>
      <w:r w:rsidR="007A72FD">
        <w:rPr>
          <w:rFonts w:ascii="Verdana" w:hAnsi="Verdana"/>
          <w:sz w:val="22"/>
          <w:szCs w:val="22"/>
          <w:lang w:val="el-GR"/>
        </w:rPr>
        <w:t>,</w:t>
      </w:r>
      <w:r w:rsidR="009D61BC" w:rsidRPr="00EF6613">
        <w:rPr>
          <w:rFonts w:ascii="Verdana" w:hAnsi="Verdana"/>
          <w:sz w:val="22"/>
          <w:szCs w:val="22"/>
          <w:lang w:val="el-GR"/>
        </w:rPr>
        <w:t xml:space="preserve"> να κυριαρχήσει απόλυτα στην αγορά και, όπως φαίνεται, το επιτυγχάνουν, αφού έχουν καταφέρει να εκτοπίσουν σε μεγάλο βαθμό από την αγορά τα δυτικά ελαιόλαδα, μεταξύ των οποίων και  το εξαίρετο &amp; βιολογικό </w:t>
      </w:r>
      <w:r w:rsidR="009D61BC" w:rsidRPr="00EF6613">
        <w:rPr>
          <w:rFonts w:ascii="Verdana" w:hAnsi="Verdana"/>
          <w:sz w:val="22"/>
          <w:szCs w:val="22"/>
        </w:rPr>
        <w:t>TERRA</w:t>
      </w:r>
      <w:r w:rsidR="009D61BC" w:rsidRPr="00EF6613">
        <w:rPr>
          <w:rFonts w:ascii="Verdana" w:hAnsi="Verdana"/>
          <w:sz w:val="22"/>
          <w:szCs w:val="22"/>
          <w:lang w:val="el-GR"/>
        </w:rPr>
        <w:t xml:space="preserve"> </w:t>
      </w:r>
      <w:r w:rsidR="009D61BC" w:rsidRPr="00EF6613">
        <w:rPr>
          <w:rFonts w:ascii="Verdana" w:hAnsi="Verdana"/>
          <w:sz w:val="22"/>
          <w:szCs w:val="22"/>
        </w:rPr>
        <w:t>CRETA</w:t>
      </w:r>
      <w:r w:rsidR="009D61BC" w:rsidRPr="00EF6613">
        <w:rPr>
          <w:rFonts w:ascii="Verdana" w:hAnsi="Verdana"/>
          <w:sz w:val="22"/>
          <w:szCs w:val="22"/>
          <w:lang w:val="el-GR"/>
        </w:rPr>
        <w:t>.</w:t>
      </w:r>
    </w:p>
    <w:p w:rsidR="009D61BC" w:rsidRPr="00EF6613" w:rsidRDefault="009D61BC" w:rsidP="009D61BC">
      <w:pPr>
        <w:pStyle w:val="Web"/>
        <w:spacing w:before="0" w:beforeAutospacing="0" w:after="0" w:afterAutospacing="0"/>
        <w:ind w:left="1080"/>
        <w:jc w:val="both"/>
        <w:rPr>
          <w:rFonts w:ascii="Verdana" w:hAnsi="Verdana"/>
          <w:sz w:val="22"/>
          <w:szCs w:val="22"/>
          <w:lang w:val="el-GR"/>
        </w:rPr>
      </w:pPr>
    </w:p>
    <w:p w:rsidR="009D61BC" w:rsidRDefault="009D61BC" w:rsidP="00087891">
      <w:pPr>
        <w:pStyle w:val="aa"/>
        <w:numPr>
          <w:ilvl w:val="0"/>
          <w:numId w:val="43"/>
        </w:numPr>
        <w:jc w:val="both"/>
        <w:rPr>
          <w:rFonts w:ascii="Verdana" w:hAnsi="Verdana"/>
          <w:sz w:val="22"/>
          <w:szCs w:val="22"/>
        </w:rPr>
      </w:pPr>
      <w:r w:rsidRPr="004742FE">
        <w:rPr>
          <w:rFonts w:ascii="Verdana" w:hAnsi="Verdana"/>
          <w:b/>
          <w:bCs/>
          <w:sz w:val="22"/>
          <w:szCs w:val="22"/>
        </w:rPr>
        <w:t>Το κατά κεφαλήν ΑΕΠ,</w:t>
      </w:r>
      <w:r w:rsidRPr="004742FE">
        <w:rPr>
          <w:rFonts w:ascii="Verdana" w:hAnsi="Verdana"/>
          <w:bCs/>
          <w:sz w:val="22"/>
          <w:szCs w:val="22"/>
        </w:rPr>
        <w:t xml:space="preserve"> το οποίο το 2014 ήταν 7.990 </w:t>
      </w:r>
      <w:r w:rsidRPr="004742FE">
        <w:rPr>
          <w:rFonts w:ascii="Verdana" w:hAnsi="Verdana"/>
          <w:bCs/>
          <w:sz w:val="22"/>
          <w:szCs w:val="22"/>
          <w:lang w:val="en-US"/>
        </w:rPr>
        <w:t>USD</w:t>
      </w:r>
      <w:r w:rsidRPr="004742FE">
        <w:rPr>
          <w:rFonts w:ascii="Verdana" w:hAnsi="Verdana"/>
          <w:bCs/>
          <w:sz w:val="22"/>
          <w:szCs w:val="22"/>
        </w:rPr>
        <w:t xml:space="preserve"> (ιστορ</w:t>
      </w:r>
      <w:r w:rsidR="00684200">
        <w:rPr>
          <w:rFonts w:ascii="Verdana" w:hAnsi="Verdana"/>
          <w:bCs/>
          <w:sz w:val="22"/>
          <w:szCs w:val="22"/>
        </w:rPr>
        <w:t>ικό υψηλό), διαμορφώθηκε το 2019</w:t>
      </w:r>
      <w:r w:rsidRPr="004742FE">
        <w:rPr>
          <w:rFonts w:ascii="Verdana" w:hAnsi="Verdana"/>
          <w:bCs/>
          <w:sz w:val="22"/>
          <w:szCs w:val="22"/>
        </w:rPr>
        <w:t xml:space="preserve"> σε </w:t>
      </w:r>
      <w:r w:rsidR="00684200">
        <w:rPr>
          <w:rFonts w:ascii="Verdana" w:hAnsi="Verdana"/>
          <w:bCs/>
          <w:sz w:val="22"/>
          <w:szCs w:val="22"/>
        </w:rPr>
        <w:t>4.851</w:t>
      </w:r>
      <w:r w:rsidRPr="004742FE">
        <w:rPr>
          <w:rFonts w:ascii="Verdana" w:hAnsi="Verdana"/>
          <w:bCs/>
          <w:sz w:val="22"/>
          <w:szCs w:val="22"/>
        </w:rPr>
        <w:t xml:space="preserve"> </w:t>
      </w:r>
      <w:r w:rsidRPr="004742FE">
        <w:rPr>
          <w:rFonts w:ascii="Verdana" w:hAnsi="Verdana"/>
          <w:bCs/>
          <w:sz w:val="22"/>
          <w:szCs w:val="22"/>
          <w:lang w:val="en-US"/>
        </w:rPr>
        <w:t>USD</w:t>
      </w:r>
      <w:r w:rsidRPr="004742FE">
        <w:rPr>
          <w:rFonts w:ascii="Verdana" w:hAnsi="Verdana"/>
          <w:bCs/>
          <w:sz w:val="22"/>
          <w:szCs w:val="22"/>
        </w:rPr>
        <w:t xml:space="preserve">. </w:t>
      </w:r>
      <w:r w:rsidR="000524D0">
        <w:rPr>
          <w:rFonts w:ascii="Verdana" w:hAnsi="Verdana"/>
          <w:bCs/>
          <w:sz w:val="22"/>
          <w:szCs w:val="22"/>
        </w:rPr>
        <w:t>Όπως προαναφέρθηκε, η χώρα</w:t>
      </w:r>
      <w:r w:rsidRPr="004742FE">
        <w:rPr>
          <w:rFonts w:ascii="Verdana" w:hAnsi="Verdana"/>
          <w:bCs/>
          <w:sz w:val="22"/>
          <w:szCs w:val="22"/>
        </w:rPr>
        <w:t xml:space="preserve"> </w:t>
      </w:r>
      <w:r w:rsidR="000524D0">
        <w:rPr>
          <w:rFonts w:ascii="Verdana" w:hAnsi="Verdana"/>
          <w:bCs/>
          <w:sz w:val="22"/>
          <w:szCs w:val="22"/>
        </w:rPr>
        <w:t xml:space="preserve">κατατάσσεται </w:t>
      </w:r>
      <w:r w:rsidRPr="004742FE">
        <w:rPr>
          <w:rFonts w:ascii="Verdana" w:hAnsi="Verdana"/>
          <w:bCs/>
          <w:sz w:val="22"/>
          <w:szCs w:val="22"/>
        </w:rPr>
        <w:t>στην κατηγορία των χωρών «</w:t>
      </w:r>
      <w:proofErr w:type="spellStart"/>
      <w:r w:rsidRPr="004742FE">
        <w:rPr>
          <w:rFonts w:ascii="Verdana" w:hAnsi="Verdana"/>
          <w:bCs/>
          <w:sz w:val="22"/>
          <w:szCs w:val="22"/>
        </w:rPr>
        <w:t>χαµηλού</w:t>
      </w:r>
      <w:proofErr w:type="spellEnd"/>
      <w:r w:rsidRPr="004742FE">
        <w:rPr>
          <w:rFonts w:ascii="Verdana" w:hAnsi="Verdana"/>
          <w:bCs/>
          <w:sz w:val="22"/>
          <w:szCs w:val="22"/>
        </w:rPr>
        <w:t xml:space="preserve"> κατά κεφαλήν </w:t>
      </w:r>
      <w:proofErr w:type="spellStart"/>
      <w:r w:rsidRPr="004742FE">
        <w:rPr>
          <w:rFonts w:ascii="Verdana" w:hAnsi="Verdana"/>
          <w:bCs/>
          <w:sz w:val="22"/>
          <w:szCs w:val="22"/>
        </w:rPr>
        <w:t>εισοδήµατος</w:t>
      </w:r>
      <w:proofErr w:type="spellEnd"/>
      <w:r w:rsidRPr="004742FE">
        <w:rPr>
          <w:rFonts w:ascii="Verdana" w:hAnsi="Verdana"/>
          <w:bCs/>
          <w:sz w:val="22"/>
          <w:szCs w:val="22"/>
        </w:rPr>
        <w:t xml:space="preserve">», </w:t>
      </w:r>
      <w:proofErr w:type="spellStart"/>
      <w:r w:rsidRPr="004742FE">
        <w:rPr>
          <w:rFonts w:ascii="Verdana" w:hAnsi="Verdana"/>
          <w:bCs/>
          <w:sz w:val="22"/>
          <w:szCs w:val="22"/>
        </w:rPr>
        <w:t>σύµφωνα</w:t>
      </w:r>
      <w:proofErr w:type="spellEnd"/>
      <w:r w:rsidRPr="004742FE">
        <w:rPr>
          <w:rFonts w:ascii="Verdana" w:hAnsi="Verdana"/>
          <w:bCs/>
          <w:sz w:val="22"/>
          <w:szCs w:val="22"/>
        </w:rPr>
        <w:t xml:space="preserve"> µε τα διεθνώς αποδεκτά </w:t>
      </w:r>
      <w:r w:rsidRPr="004742FE">
        <w:rPr>
          <w:rFonts w:ascii="Verdana" w:hAnsi="Verdana"/>
          <w:bCs/>
          <w:sz w:val="22"/>
          <w:szCs w:val="22"/>
          <w:lang w:val="en-US"/>
        </w:rPr>
        <w:t>standards</w:t>
      </w:r>
      <w:r w:rsidRPr="004742FE">
        <w:rPr>
          <w:rFonts w:ascii="Verdana" w:hAnsi="Verdana"/>
          <w:bCs/>
          <w:sz w:val="22"/>
          <w:szCs w:val="22"/>
        </w:rPr>
        <w:t xml:space="preserve"> της </w:t>
      </w:r>
      <w:r w:rsidRPr="004742FE">
        <w:rPr>
          <w:rFonts w:ascii="Verdana" w:hAnsi="Verdana"/>
          <w:bCs/>
          <w:sz w:val="22"/>
          <w:szCs w:val="22"/>
          <w:lang w:val="en-US"/>
        </w:rPr>
        <w:t>UNCTAD</w:t>
      </w:r>
      <w:r w:rsidRPr="004742FE">
        <w:rPr>
          <w:rFonts w:ascii="Verdana" w:hAnsi="Verdana"/>
          <w:bCs/>
          <w:sz w:val="22"/>
          <w:szCs w:val="22"/>
        </w:rPr>
        <w:t xml:space="preserve">. </w:t>
      </w:r>
      <w:r w:rsidRPr="004742FE">
        <w:rPr>
          <w:rFonts w:ascii="Verdana" w:hAnsi="Verdana"/>
          <w:sz w:val="22"/>
          <w:szCs w:val="22"/>
        </w:rPr>
        <w:t xml:space="preserve">Η μέση τετραμελής οικογένεια ξοδεύει για την αγορά ειδών διατροφής μόλις 6 ευρώ ημερησίως ή 1,5 ευρώ ανά άτομο. Η διπλή υποτίμηση του </w:t>
      </w:r>
      <w:proofErr w:type="spellStart"/>
      <w:r w:rsidRPr="004742FE">
        <w:rPr>
          <w:rFonts w:ascii="Verdana" w:hAnsi="Verdana"/>
          <w:sz w:val="22"/>
          <w:szCs w:val="22"/>
        </w:rPr>
        <w:t>αζερικού</w:t>
      </w:r>
      <w:proofErr w:type="spellEnd"/>
      <w:r w:rsidRPr="004742FE">
        <w:rPr>
          <w:rFonts w:ascii="Verdana" w:hAnsi="Verdana"/>
          <w:sz w:val="22"/>
          <w:szCs w:val="22"/>
        </w:rPr>
        <w:t xml:space="preserve"> </w:t>
      </w:r>
      <w:proofErr w:type="spellStart"/>
      <w:r w:rsidRPr="004742FE">
        <w:rPr>
          <w:rFonts w:ascii="Verdana" w:hAnsi="Verdana"/>
          <w:sz w:val="22"/>
          <w:szCs w:val="22"/>
        </w:rPr>
        <w:t>μανάτ</w:t>
      </w:r>
      <w:proofErr w:type="spellEnd"/>
      <w:r w:rsidRPr="004742FE">
        <w:rPr>
          <w:rFonts w:ascii="Verdana" w:hAnsi="Verdana"/>
          <w:sz w:val="22"/>
          <w:szCs w:val="22"/>
        </w:rPr>
        <w:t xml:space="preserve"> (ΑΖΝ) το 2015 </w:t>
      </w:r>
      <w:r w:rsidRPr="004742FE">
        <w:rPr>
          <w:rFonts w:ascii="Verdana" w:hAnsi="Verdana"/>
          <w:b/>
          <w:sz w:val="22"/>
          <w:szCs w:val="22"/>
        </w:rPr>
        <w:t>μείωσε δραματικά το διαθέσιμο εισόδημα</w:t>
      </w:r>
      <w:r w:rsidRPr="004742FE">
        <w:rPr>
          <w:rFonts w:ascii="Verdana" w:hAnsi="Verdana"/>
          <w:sz w:val="22"/>
          <w:szCs w:val="22"/>
        </w:rPr>
        <w:t xml:space="preserve"> και μόνο λίγοι καταναλωτές μπορούν να αγοράσουν ποιοτικά τρόφιμα από Ευρώπη.  Εξαίρεση αποτελούν μόνον οι </w:t>
      </w:r>
      <w:r w:rsidRPr="004742FE">
        <w:rPr>
          <w:rFonts w:ascii="Verdana" w:hAnsi="Verdana"/>
          <w:sz w:val="22"/>
          <w:szCs w:val="22"/>
          <w:lang w:val="en-US"/>
        </w:rPr>
        <w:t>expatriates</w:t>
      </w:r>
      <w:r w:rsidRPr="004742FE">
        <w:rPr>
          <w:rFonts w:ascii="Verdana" w:hAnsi="Verdana"/>
          <w:sz w:val="22"/>
          <w:szCs w:val="22"/>
        </w:rPr>
        <w:t>, π.χ. τα στελέχη της πετρελαϊκής Β.Ρ., ο αριθμός των οποίων, όμως, συνεχώς μειώνεται και, μαζί με τους διπλωμάτες, δεν ξεπερνούν τους 1.500 - 2.000, άρα αποτελούν μια εξαιρετικά μικρή καταναλωτική ομάδα.</w:t>
      </w:r>
    </w:p>
    <w:p w:rsidR="004742FE" w:rsidRPr="004742FE" w:rsidRDefault="004742FE" w:rsidP="004742FE">
      <w:pPr>
        <w:pStyle w:val="aa"/>
        <w:rPr>
          <w:rFonts w:ascii="Verdana" w:hAnsi="Verdana"/>
          <w:sz w:val="22"/>
          <w:szCs w:val="22"/>
        </w:rPr>
      </w:pPr>
    </w:p>
    <w:p w:rsidR="009D61BC" w:rsidRPr="00EF6613" w:rsidRDefault="009D61BC" w:rsidP="00087891">
      <w:pPr>
        <w:pStyle w:val="Web"/>
        <w:numPr>
          <w:ilvl w:val="0"/>
          <w:numId w:val="43"/>
        </w:numPr>
        <w:spacing w:before="0" w:beforeAutospacing="0" w:after="0" w:afterAutospacing="0"/>
        <w:jc w:val="both"/>
        <w:rPr>
          <w:rFonts w:ascii="Verdana" w:hAnsi="Verdana"/>
          <w:sz w:val="22"/>
          <w:szCs w:val="22"/>
          <w:lang w:val="el-GR"/>
        </w:rPr>
      </w:pPr>
      <w:r w:rsidRPr="00EF6613">
        <w:rPr>
          <w:rFonts w:ascii="Verdana" w:hAnsi="Verdana"/>
          <w:b/>
          <w:sz w:val="22"/>
          <w:szCs w:val="22"/>
          <w:lang w:val="el-GR"/>
        </w:rPr>
        <w:t>Η χώρα δεν ανήκει στα 164 μέλη του ΠΟΕ/</w:t>
      </w:r>
      <w:r w:rsidRPr="00EF6613">
        <w:rPr>
          <w:rFonts w:ascii="Verdana" w:hAnsi="Verdana"/>
          <w:b/>
          <w:sz w:val="22"/>
          <w:szCs w:val="22"/>
        </w:rPr>
        <w:t>WTO</w:t>
      </w:r>
      <w:r w:rsidRPr="00EF6613">
        <w:rPr>
          <w:rFonts w:ascii="Verdana" w:hAnsi="Verdana"/>
          <w:sz w:val="22"/>
          <w:szCs w:val="22"/>
          <w:lang w:val="el-GR"/>
        </w:rPr>
        <w:t xml:space="preserve">, επομένως μπορεί να λειτουργεί ελεύθερα και κατά το δοκούν εις βάρος των εμπορικών της εταίρων και υπέρ των εγχωρίων παραγωγών. </w:t>
      </w:r>
      <w:r w:rsidRPr="00EF6613">
        <w:rPr>
          <w:rFonts w:ascii="Verdana" w:hAnsi="Verdana"/>
          <w:b/>
          <w:sz w:val="22"/>
          <w:szCs w:val="22"/>
          <w:lang w:val="el-GR"/>
        </w:rPr>
        <w:t>Φυσικοί τους προμηθευτές σε τρόφιμα είναι οι χώρες της πρώην ΕΣΣΔ,</w:t>
      </w:r>
      <w:r w:rsidRPr="00EF6613">
        <w:rPr>
          <w:rFonts w:ascii="Verdana" w:hAnsi="Verdana"/>
          <w:sz w:val="22"/>
          <w:szCs w:val="22"/>
          <w:lang w:val="el-GR"/>
        </w:rPr>
        <w:t xml:space="preserve"> ιδίως η Ρωσία και η Ουκρανία, με τις οποίες ισχύουν συμφωνίες ελευθέρου εμπορίου</w:t>
      </w:r>
      <w:r w:rsidR="000524D0">
        <w:rPr>
          <w:rFonts w:ascii="Verdana" w:hAnsi="Verdana"/>
          <w:sz w:val="22"/>
          <w:szCs w:val="22"/>
          <w:lang w:val="el-GR"/>
        </w:rPr>
        <w:t xml:space="preserve">, αλλά και </w:t>
      </w:r>
      <w:r w:rsidR="000524D0">
        <w:rPr>
          <w:rFonts w:ascii="Verdana" w:hAnsi="Verdana"/>
          <w:sz w:val="22"/>
          <w:szCs w:val="22"/>
          <w:lang w:val="el-GR"/>
        </w:rPr>
        <w:lastRenderedPageBreak/>
        <w:t>η Τουρκία και το Ιράν. Σε αντίθεση με αυτά</w:t>
      </w:r>
      <w:r w:rsidRPr="00EF6613">
        <w:rPr>
          <w:rFonts w:ascii="Verdana" w:hAnsi="Verdana"/>
          <w:sz w:val="22"/>
          <w:szCs w:val="22"/>
          <w:lang w:val="el-GR"/>
        </w:rPr>
        <w:t xml:space="preserve">, όλα σχεδόν τα τρόφιμα-ποτά με προέλευση τις λοιπές χώρες  επιβαρύνονται με δασμούς 15% και στη συνέχεια, επί του όλου ποσού, ΦΠΑ 18% , ήτοι </w:t>
      </w:r>
      <w:r w:rsidRPr="00EF6613">
        <w:rPr>
          <w:rFonts w:ascii="Verdana" w:hAnsi="Verdana"/>
          <w:b/>
          <w:sz w:val="22"/>
          <w:szCs w:val="22"/>
          <w:lang w:val="el-GR"/>
        </w:rPr>
        <w:t>σύνολο 33%.</w:t>
      </w:r>
      <w:r w:rsidRPr="00EF6613">
        <w:rPr>
          <w:rFonts w:ascii="Verdana" w:hAnsi="Verdana"/>
          <w:sz w:val="22"/>
          <w:szCs w:val="22"/>
          <w:lang w:val="el-GR"/>
        </w:rPr>
        <w:t xml:space="preserve"> </w:t>
      </w:r>
    </w:p>
    <w:p w:rsidR="009D61BC" w:rsidRPr="00EF6613" w:rsidRDefault="009D61BC" w:rsidP="009D61BC">
      <w:pPr>
        <w:pStyle w:val="aa"/>
        <w:ind w:left="1080"/>
        <w:rPr>
          <w:rFonts w:ascii="Verdana" w:hAnsi="Verdana"/>
          <w:sz w:val="22"/>
          <w:szCs w:val="22"/>
        </w:rPr>
      </w:pPr>
    </w:p>
    <w:p w:rsidR="000524D0" w:rsidRDefault="009D61BC" w:rsidP="00087891">
      <w:pPr>
        <w:pStyle w:val="aa"/>
        <w:numPr>
          <w:ilvl w:val="0"/>
          <w:numId w:val="43"/>
        </w:numPr>
        <w:jc w:val="both"/>
        <w:rPr>
          <w:rFonts w:ascii="Verdana" w:hAnsi="Verdana"/>
          <w:sz w:val="22"/>
          <w:szCs w:val="22"/>
        </w:rPr>
      </w:pPr>
      <w:r w:rsidRPr="004742FE">
        <w:rPr>
          <w:rFonts w:ascii="Verdana" w:hAnsi="Verdana"/>
          <w:sz w:val="22"/>
          <w:szCs w:val="22"/>
        </w:rPr>
        <w:t xml:space="preserve">Ένα εξίσου σημαντικό πρόβλημα είναι επίσης </w:t>
      </w:r>
      <w:r w:rsidRPr="004742FE">
        <w:rPr>
          <w:rFonts w:ascii="Verdana" w:hAnsi="Verdana"/>
          <w:b/>
          <w:sz w:val="22"/>
          <w:szCs w:val="22"/>
        </w:rPr>
        <w:t>το διαθέσιμο συνάλλαγμα και η τιμή του:</w:t>
      </w:r>
      <w:r w:rsidRPr="004742FE">
        <w:rPr>
          <w:rFonts w:ascii="Verdana" w:hAnsi="Verdana"/>
          <w:sz w:val="22"/>
          <w:szCs w:val="22"/>
        </w:rPr>
        <w:t xml:space="preserve"> Σήμερα οι τράπεζες πωλούν το 1 ευρώ προς </w:t>
      </w:r>
      <w:r w:rsidRPr="00A53AAC">
        <w:rPr>
          <w:rFonts w:ascii="Verdana" w:hAnsi="Verdana"/>
          <w:sz w:val="22"/>
          <w:szCs w:val="22"/>
        </w:rPr>
        <w:t>1,9</w:t>
      </w:r>
      <w:r w:rsidR="00A53AAC" w:rsidRPr="00A53AAC">
        <w:rPr>
          <w:rFonts w:ascii="Verdana" w:hAnsi="Verdana"/>
          <w:sz w:val="22"/>
          <w:szCs w:val="22"/>
        </w:rPr>
        <w:t>8</w:t>
      </w:r>
      <w:r w:rsidRPr="00A53AAC">
        <w:rPr>
          <w:rFonts w:ascii="Verdana" w:hAnsi="Verdana"/>
          <w:b/>
          <w:sz w:val="22"/>
          <w:szCs w:val="22"/>
        </w:rPr>
        <w:t xml:space="preserve"> </w:t>
      </w:r>
      <w:proofErr w:type="spellStart"/>
      <w:r w:rsidRPr="00A53AAC">
        <w:rPr>
          <w:rFonts w:ascii="Verdana" w:hAnsi="Verdana"/>
          <w:sz w:val="22"/>
          <w:szCs w:val="22"/>
        </w:rPr>
        <w:t>μανάτ</w:t>
      </w:r>
      <w:proofErr w:type="spellEnd"/>
      <w:r w:rsidRPr="004742FE">
        <w:rPr>
          <w:rFonts w:ascii="Verdana" w:hAnsi="Verdana"/>
          <w:sz w:val="22"/>
          <w:szCs w:val="22"/>
        </w:rPr>
        <w:t xml:space="preserve"> (ΑΖΝ), ενώ πριν την πρώτη υποτίμηση του ΑΖΝ προς 0,89, με αποτέλεσμα τον υπερδιπλασιασμό της τιμής των εισαγομένων προϊόντων. Σαν συνέπεια των ανωτέρω πάνω από το 1/3 των </w:t>
      </w:r>
      <w:proofErr w:type="spellStart"/>
      <w:r w:rsidRPr="004742FE">
        <w:rPr>
          <w:rFonts w:ascii="Verdana" w:hAnsi="Verdana"/>
          <w:sz w:val="22"/>
          <w:szCs w:val="22"/>
        </w:rPr>
        <w:t>αζερικών</w:t>
      </w:r>
      <w:proofErr w:type="spellEnd"/>
      <w:r w:rsidRPr="004742FE">
        <w:rPr>
          <w:rFonts w:ascii="Verdana" w:hAnsi="Verdana"/>
          <w:sz w:val="22"/>
          <w:szCs w:val="22"/>
        </w:rPr>
        <w:t xml:space="preserve"> εισαγωγών γίνεται σήμερα με πληρωμή σε μη σκληρό νόμισμα, π</w:t>
      </w:r>
      <w:r w:rsidR="000524D0">
        <w:rPr>
          <w:rFonts w:ascii="Verdana" w:hAnsi="Verdana"/>
          <w:sz w:val="22"/>
          <w:szCs w:val="22"/>
        </w:rPr>
        <w:t>.</w:t>
      </w:r>
      <w:r w:rsidRPr="004742FE">
        <w:rPr>
          <w:rFonts w:ascii="Verdana" w:hAnsi="Verdana"/>
          <w:sz w:val="22"/>
          <w:szCs w:val="22"/>
        </w:rPr>
        <w:t>χ</w:t>
      </w:r>
      <w:r w:rsidR="000524D0">
        <w:rPr>
          <w:rFonts w:ascii="Verdana" w:hAnsi="Verdana"/>
          <w:sz w:val="22"/>
          <w:szCs w:val="22"/>
        </w:rPr>
        <w:t>.</w:t>
      </w:r>
      <w:r w:rsidRPr="004742FE">
        <w:rPr>
          <w:rFonts w:ascii="Verdana" w:hAnsi="Verdana"/>
          <w:sz w:val="22"/>
          <w:szCs w:val="22"/>
        </w:rPr>
        <w:t xml:space="preserve"> </w:t>
      </w:r>
      <w:proofErr w:type="spellStart"/>
      <w:r w:rsidRPr="004742FE">
        <w:rPr>
          <w:rFonts w:ascii="Verdana" w:hAnsi="Verdana"/>
          <w:sz w:val="22"/>
          <w:szCs w:val="22"/>
        </w:rPr>
        <w:t>μανάτ</w:t>
      </w:r>
      <w:proofErr w:type="spellEnd"/>
      <w:r w:rsidRPr="004742FE">
        <w:rPr>
          <w:rFonts w:ascii="Verdana" w:hAnsi="Verdana"/>
          <w:sz w:val="22"/>
          <w:szCs w:val="22"/>
        </w:rPr>
        <w:t xml:space="preserve"> (ΑΖΝ), ρούβλια, γεωργιανά </w:t>
      </w:r>
      <w:proofErr w:type="spellStart"/>
      <w:r w:rsidRPr="004742FE">
        <w:rPr>
          <w:rFonts w:ascii="Verdana" w:hAnsi="Verdana"/>
          <w:sz w:val="22"/>
          <w:szCs w:val="22"/>
        </w:rPr>
        <w:t>λάρι</w:t>
      </w:r>
      <w:proofErr w:type="spellEnd"/>
      <w:r w:rsidRPr="004742FE">
        <w:rPr>
          <w:rFonts w:ascii="Verdana" w:hAnsi="Verdana"/>
          <w:sz w:val="22"/>
          <w:szCs w:val="22"/>
        </w:rPr>
        <w:t>, τουρκικ</w:t>
      </w:r>
      <w:r w:rsidR="000524D0">
        <w:rPr>
          <w:rFonts w:ascii="Verdana" w:hAnsi="Verdana"/>
          <w:sz w:val="22"/>
          <w:szCs w:val="22"/>
        </w:rPr>
        <w:t>ές λίρες κλπ. Επίσης, από την 01.11.</w:t>
      </w:r>
      <w:r w:rsidRPr="004742FE">
        <w:rPr>
          <w:rFonts w:ascii="Verdana" w:hAnsi="Verdana"/>
          <w:sz w:val="22"/>
          <w:szCs w:val="22"/>
        </w:rPr>
        <w:t>2016 ισχύουν έκτακτες επιβαρύνσεις ανά μονάδα προϊόντος ή ανά χιλιό</w:t>
      </w:r>
      <w:r w:rsidR="000524D0">
        <w:rPr>
          <w:rFonts w:ascii="Verdana" w:hAnsi="Verdana"/>
          <w:sz w:val="22"/>
          <w:szCs w:val="22"/>
        </w:rPr>
        <w:t xml:space="preserve">γραμμο σε πάρα πολλά εισαγόμενα </w:t>
      </w:r>
      <w:r w:rsidRPr="004742FE">
        <w:rPr>
          <w:rFonts w:ascii="Verdana" w:hAnsi="Verdana"/>
          <w:sz w:val="22"/>
          <w:szCs w:val="22"/>
        </w:rPr>
        <w:t xml:space="preserve">τρόφιμα, οι οποίες αναμένεται να επεκταθούν. </w:t>
      </w:r>
    </w:p>
    <w:p w:rsidR="000524D0" w:rsidRPr="000524D0" w:rsidRDefault="000524D0" w:rsidP="000524D0">
      <w:pPr>
        <w:pStyle w:val="aa"/>
        <w:rPr>
          <w:rFonts w:ascii="Verdana" w:hAnsi="Verdana"/>
          <w:sz w:val="22"/>
          <w:szCs w:val="22"/>
        </w:rPr>
      </w:pPr>
    </w:p>
    <w:p w:rsidR="009D61BC" w:rsidRPr="000524D0" w:rsidRDefault="009D61BC" w:rsidP="00087891">
      <w:pPr>
        <w:pStyle w:val="aa"/>
        <w:numPr>
          <w:ilvl w:val="0"/>
          <w:numId w:val="43"/>
        </w:numPr>
        <w:jc w:val="both"/>
        <w:rPr>
          <w:rFonts w:ascii="Verdana" w:hAnsi="Verdana"/>
          <w:b/>
          <w:sz w:val="22"/>
          <w:szCs w:val="22"/>
        </w:rPr>
      </w:pPr>
      <w:r w:rsidRPr="000524D0">
        <w:rPr>
          <w:rFonts w:ascii="Verdana" w:hAnsi="Verdana"/>
          <w:b/>
          <w:sz w:val="22"/>
          <w:szCs w:val="22"/>
        </w:rPr>
        <w:t>Συμπερασματικά, η πολιτική υποκατάστασης εισαγωγών θα εντείνεται, όσο το ΑΖΝ θα δέχεται πιέσεις.</w:t>
      </w:r>
    </w:p>
    <w:p w:rsidR="009D61BC" w:rsidRPr="004742FE" w:rsidRDefault="009D61BC" w:rsidP="009D61BC">
      <w:pPr>
        <w:pStyle w:val="aa"/>
        <w:rPr>
          <w:rFonts w:ascii="Verdana" w:hAnsi="Verdana"/>
          <w:sz w:val="22"/>
          <w:szCs w:val="22"/>
        </w:rPr>
      </w:pPr>
    </w:p>
    <w:p w:rsidR="009D61BC" w:rsidRPr="004742FE" w:rsidRDefault="009D61BC" w:rsidP="00087891">
      <w:pPr>
        <w:pStyle w:val="aa"/>
        <w:numPr>
          <w:ilvl w:val="0"/>
          <w:numId w:val="43"/>
        </w:numPr>
        <w:jc w:val="both"/>
        <w:rPr>
          <w:rFonts w:ascii="Verdana" w:hAnsi="Verdana"/>
          <w:i/>
          <w:sz w:val="22"/>
          <w:szCs w:val="22"/>
        </w:rPr>
      </w:pPr>
      <w:r w:rsidRPr="004742FE">
        <w:rPr>
          <w:rFonts w:ascii="Verdana" w:hAnsi="Verdana"/>
          <w:b/>
          <w:sz w:val="22"/>
          <w:szCs w:val="22"/>
        </w:rPr>
        <w:t>Ο εγχώριος αγροτι</w:t>
      </w:r>
      <w:r w:rsidR="000524D0">
        <w:rPr>
          <w:rFonts w:ascii="Verdana" w:hAnsi="Verdana"/>
          <w:b/>
          <w:sz w:val="22"/>
          <w:szCs w:val="22"/>
        </w:rPr>
        <w:t xml:space="preserve">κός τομέας εμφανίζει </w:t>
      </w:r>
      <w:r w:rsidRPr="004742FE">
        <w:rPr>
          <w:rFonts w:ascii="Verdana" w:hAnsi="Verdana"/>
          <w:b/>
          <w:sz w:val="22"/>
          <w:szCs w:val="22"/>
        </w:rPr>
        <w:t>ισχυρά</w:t>
      </w:r>
      <w:r w:rsidRPr="004742FE">
        <w:rPr>
          <w:rFonts w:ascii="Verdana" w:hAnsi="Verdana"/>
          <w:sz w:val="22"/>
          <w:szCs w:val="22"/>
        </w:rPr>
        <w:t xml:space="preserve"> </w:t>
      </w:r>
      <w:r w:rsidRPr="004742FE">
        <w:rPr>
          <w:rFonts w:ascii="Verdana" w:hAnsi="Verdana"/>
          <w:b/>
          <w:sz w:val="22"/>
          <w:szCs w:val="22"/>
        </w:rPr>
        <w:t>ομοειδή χαρακτηριστικά</w:t>
      </w:r>
      <w:r w:rsidRPr="004742FE">
        <w:rPr>
          <w:rFonts w:ascii="Verdana" w:hAnsi="Verdana"/>
          <w:sz w:val="22"/>
          <w:szCs w:val="22"/>
        </w:rPr>
        <w:t xml:space="preserve"> με τον αντίστοιχο ελληνικό, αφού, λόγω ευνοϊκών κλιματολογικών συνθηκών, παράγει το σύνολο σχεδόν της γκάμας των ελληνικών εξαγώγιμων προϊόντων ( ελαιόλαδο, γαλακτοκομικά, κρασιά, φρούτα και λαχανικά, ξηρούς καρπούς, μέλι, χυμούς φρούτων, όσπρια, δημητριακά </w:t>
      </w:r>
      <w:proofErr w:type="spellStart"/>
      <w:r w:rsidRPr="004742FE">
        <w:rPr>
          <w:rFonts w:ascii="Verdana" w:hAnsi="Verdana"/>
          <w:sz w:val="22"/>
          <w:szCs w:val="22"/>
        </w:rPr>
        <w:t>κ.λ.π</w:t>
      </w:r>
      <w:proofErr w:type="spellEnd"/>
      <w:r w:rsidRPr="004742FE">
        <w:rPr>
          <w:rFonts w:ascii="Verdana" w:hAnsi="Verdana"/>
          <w:sz w:val="22"/>
          <w:szCs w:val="22"/>
        </w:rPr>
        <w:t xml:space="preserve">.), σε τιμές συντριπτικά χαμηλότερες των αντίστοιχων εισαγομένων προϊόντων. Το γεγονός αυτό, σε συνδυασμό με τα προηγηθέντα, εξηγεί απόλυτα την δυσκολία διείσδυσης των </w:t>
      </w:r>
      <w:proofErr w:type="spellStart"/>
      <w:r w:rsidRPr="004742FE">
        <w:rPr>
          <w:rFonts w:ascii="Verdana" w:hAnsi="Verdana"/>
          <w:sz w:val="22"/>
          <w:szCs w:val="22"/>
        </w:rPr>
        <w:t>κατ΄εξοχή</w:t>
      </w:r>
      <w:proofErr w:type="spellEnd"/>
      <w:r w:rsidRPr="004742FE">
        <w:rPr>
          <w:rFonts w:ascii="Verdana" w:hAnsi="Verdana"/>
          <w:sz w:val="22"/>
          <w:szCs w:val="22"/>
        </w:rPr>
        <w:t xml:space="preserve"> δυναμικών μας αγροτικών προϊόντων και </w:t>
      </w:r>
      <w:proofErr w:type="spellStart"/>
      <w:r w:rsidRPr="004742FE">
        <w:rPr>
          <w:rFonts w:ascii="Verdana" w:hAnsi="Verdana"/>
          <w:sz w:val="22"/>
          <w:szCs w:val="22"/>
        </w:rPr>
        <w:t>γενικώτερα</w:t>
      </w:r>
      <w:proofErr w:type="spellEnd"/>
      <w:r w:rsidRPr="004742FE">
        <w:rPr>
          <w:rFonts w:ascii="Verdana" w:hAnsi="Verdana"/>
          <w:sz w:val="22"/>
          <w:szCs w:val="22"/>
        </w:rPr>
        <w:t xml:space="preserve"> των τροφίμων. Οι καταγραφείσες ελάχιστες εισαγωγές ελληνικών τυποποιημένων τροφίμων απορροφούνται κυρίως από τους αλλοδαπούς κατοίκους και τους </w:t>
      </w:r>
      <w:proofErr w:type="spellStart"/>
      <w:r w:rsidRPr="004742FE">
        <w:rPr>
          <w:rFonts w:ascii="Verdana" w:hAnsi="Verdana"/>
          <w:sz w:val="22"/>
          <w:szCs w:val="22"/>
        </w:rPr>
        <w:t>αζέρους</w:t>
      </w:r>
      <w:proofErr w:type="spellEnd"/>
      <w:r w:rsidRPr="004742FE">
        <w:rPr>
          <w:rFonts w:ascii="Verdana" w:hAnsi="Verdana"/>
          <w:sz w:val="22"/>
          <w:szCs w:val="22"/>
        </w:rPr>
        <w:t xml:space="preserve"> με υψηλά εισοδήματα και διαφοροποιημένη καταναλωτική συνείδηση και προσφέρονται κατά κανόνα στα καταστήματα </w:t>
      </w:r>
      <w:proofErr w:type="spellStart"/>
      <w:r w:rsidRPr="004742FE">
        <w:rPr>
          <w:rFonts w:ascii="Verdana" w:hAnsi="Verdana"/>
          <w:sz w:val="22"/>
          <w:szCs w:val="22"/>
        </w:rPr>
        <w:t>delikatessen</w:t>
      </w:r>
      <w:proofErr w:type="spellEnd"/>
      <w:r w:rsidRPr="004742FE">
        <w:rPr>
          <w:rFonts w:ascii="Verdana" w:hAnsi="Verdana"/>
          <w:sz w:val="22"/>
          <w:szCs w:val="22"/>
        </w:rPr>
        <w:t>.</w:t>
      </w:r>
    </w:p>
    <w:p w:rsidR="009D61BC" w:rsidRPr="004742FE" w:rsidRDefault="009D61BC" w:rsidP="009D61BC">
      <w:pPr>
        <w:pStyle w:val="aa"/>
        <w:rPr>
          <w:rFonts w:ascii="Verdana" w:hAnsi="Verdana"/>
          <w:i/>
          <w:sz w:val="22"/>
          <w:szCs w:val="22"/>
        </w:rPr>
      </w:pPr>
    </w:p>
    <w:p w:rsidR="009D61BC" w:rsidRPr="004742FE" w:rsidRDefault="009D61BC" w:rsidP="00087891">
      <w:pPr>
        <w:pStyle w:val="aa"/>
        <w:numPr>
          <w:ilvl w:val="0"/>
          <w:numId w:val="43"/>
        </w:numPr>
        <w:jc w:val="both"/>
        <w:rPr>
          <w:rFonts w:ascii="Verdana" w:hAnsi="Verdana"/>
          <w:sz w:val="22"/>
          <w:szCs w:val="22"/>
        </w:rPr>
      </w:pPr>
      <w:r w:rsidRPr="004742FE">
        <w:rPr>
          <w:rFonts w:ascii="Verdana" w:hAnsi="Verdana"/>
          <w:b/>
          <w:sz w:val="22"/>
          <w:szCs w:val="22"/>
        </w:rPr>
        <w:t>Οι μεγάλες αλυσίδες λιανικής καθώς και οι ισχυρότεροι εισαγωγικοί όμιλοι</w:t>
      </w:r>
      <w:r w:rsidRPr="004742FE">
        <w:rPr>
          <w:rFonts w:ascii="Verdana" w:hAnsi="Verdana"/>
          <w:sz w:val="22"/>
          <w:szCs w:val="22"/>
        </w:rPr>
        <w:t xml:space="preserve"> ανήκουν στην συντριπτική τους πλειοψηφία και  παραδοσιακά σε επιχειρηματίες προσκείμενους στην κυβέρνηση και στις οικογένειες των </w:t>
      </w:r>
      <w:proofErr w:type="spellStart"/>
      <w:r w:rsidRPr="004742FE">
        <w:rPr>
          <w:rFonts w:ascii="Verdana" w:hAnsi="Verdana"/>
          <w:sz w:val="22"/>
          <w:szCs w:val="22"/>
        </w:rPr>
        <w:t>ολιγαρχών</w:t>
      </w:r>
      <w:proofErr w:type="spellEnd"/>
      <w:r w:rsidRPr="004742FE">
        <w:rPr>
          <w:rFonts w:ascii="Verdana" w:hAnsi="Verdana"/>
          <w:sz w:val="22"/>
          <w:szCs w:val="22"/>
        </w:rPr>
        <w:t xml:space="preserve">, με αποτέλεσμα οι επιχειρηματικές αποφάσεις να μη λαμβάνονται αποκλειστικά με κριτήρια αγοράς αλλά και με στοχεύσεις που εξυπηρετούν γενικότερα πολιτικοοικονομικά συμφέροντα. </w:t>
      </w:r>
    </w:p>
    <w:p w:rsidR="009D61BC" w:rsidRPr="004742FE" w:rsidRDefault="009D61BC" w:rsidP="009D61BC">
      <w:pPr>
        <w:pStyle w:val="aa"/>
        <w:jc w:val="both"/>
        <w:rPr>
          <w:rFonts w:ascii="Verdana" w:hAnsi="Verdana"/>
          <w:sz w:val="22"/>
          <w:szCs w:val="22"/>
        </w:rPr>
      </w:pPr>
    </w:p>
    <w:p w:rsidR="009D61BC" w:rsidRPr="004742FE" w:rsidRDefault="009D61BC" w:rsidP="00087891">
      <w:pPr>
        <w:pStyle w:val="aa"/>
        <w:numPr>
          <w:ilvl w:val="0"/>
          <w:numId w:val="43"/>
        </w:numPr>
        <w:jc w:val="both"/>
        <w:rPr>
          <w:rFonts w:ascii="Verdana" w:hAnsi="Verdana"/>
          <w:sz w:val="22"/>
          <w:szCs w:val="22"/>
        </w:rPr>
      </w:pPr>
      <w:r w:rsidRPr="004742FE">
        <w:rPr>
          <w:rFonts w:ascii="Verdana" w:hAnsi="Verdana"/>
          <w:b/>
          <w:sz w:val="22"/>
          <w:szCs w:val="22"/>
        </w:rPr>
        <w:t>Υφίσταται, τέλος, και σοβαρό γλωσσικό θέμα.</w:t>
      </w:r>
      <w:r w:rsidRPr="004742FE">
        <w:rPr>
          <w:rFonts w:ascii="Verdana" w:hAnsi="Verdana"/>
          <w:sz w:val="22"/>
          <w:szCs w:val="22"/>
        </w:rPr>
        <w:t xml:space="preserve"> Πολύ λίγοι </w:t>
      </w:r>
      <w:proofErr w:type="spellStart"/>
      <w:r w:rsidRPr="004742FE">
        <w:rPr>
          <w:rFonts w:ascii="Verdana" w:hAnsi="Verdana"/>
          <w:sz w:val="22"/>
          <w:szCs w:val="22"/>
        </w:rPr>
        <w:t>Αζέροι</w:t>
      </w:r>
      <w:proofErr w:type="spellEnd"/>
      <w:r w:rsidRPr="004742FE">
        <w:rPr>
          <w:rFonts w:ascii="Verdana" w:hAnsi="Verdana"/>
          <w:sz w:val="22"/>
          <w:szCs w:val="22"/>
        </w:rPr>
        <w:t xml:space="preserve">, ειδικά άνω των 40 ετών, ομιλούν την αγγλική, επομένως η εμπορική επικοινωνία μπορεί να γίνει, κατά κανόνα, μόνο στην </w:t>
      </w:r>
      <w:proofErr w:type="spellStart"/>
      <w:r w:rsidRPr="004742FE">
        <w:rPr>
          <w:rFonts w:ascii="Verdana" w:hAnsi="Verdana"/>
          <w:sz w:val="22"/>
          <w:szCs w:val="22"/>
        </w:rPr>
        <w:t>αζερική</w:t>
      </w:r>
      <w:proofErr w:type="spellEnd"/>
      <w:r w:rsidRPr="004742FE">
        <w:rPr>
          <w:rFonts w:ascii="Verdana" w:hAnsi="Verdana"/>
          <w:sz w:val="22"/>
          <w:szCs w:val="22"/>
        </w:rPr>
        <w:t xml:space="preserve"> η στη ρωσική γλώσσα. </w:t>
      </w:r>
    </w:p>
    <w:p w:rsidR="009D61BC" w:rsidRPr="004742FE" w:rsidRDefault="009D61BC" w:rsidP="009D61BC">
      <w:pPr>
        <w:pStyle w:val="aa"/>
        <w:rPr>
          <w:rFonts w:ascii="Verdana" w:hAnsi="Verdana"/>
          <w:sz w:val="22"/>
          <w:szCs w:val="22"/>
        </w:rPr>
      </w:pPr>
    </w:p>
    <w:p w:rsidR="009D61BC" w:rsidRPr="00087891" w:rsidRDefault="009D61BC" w:rsidP="00087891">
      <w:pPr>
        <w:jc w:val="both"/>
        <w:rPr>
          <w:rFonts w:ascii="Verdana" w:hAnsi="Verdana"/>
        </w:rPr>
      </w:pPr>
      <w:r w:rsidRPr="00087891">
        <w:rPr>
          <w:rFonts w:ascii="Verdana" w:hAnsi="Verdana"/>
        </w:rPr>
        <w:t xml:space="preserve">Λαμβάνοντας υπόψη όλα τα ανωτέρω διαπιστώνουμε, ότι δεν αναμένεται προς το παρόν </w:t>
      </w:r>
      <w:r w:rsidR="00684200">
        <w:rPr>
          <w:rFonts w:ascii="Verdana" w:hAnsi="Verdana"/>
        </w:rPr>
        <w:t xml:space="preserve">σημαντική </w:t>
      </w:r>
      <w:r w:rsidRPr="00087891">
        <w:rPr>
          <w:rFonts w:ascii="Verdana" w:hAnsi="Verdana"/>
        </w:rPr>
        <w:t xml:space="preserve">βελτίωση των δυνατοτήτων εμπορικής διείσδυσης στην </w:t>
      </w:r>
      <w:proofErr w:type="spellStart"/>
      <w:r w:rsidRPr="00087891">
        <w:rPr>
          <w:rFonts w:ascii="Verdana" w:hAnsi="Verdana"/>
        </w:rPr>
        <w:t>αζερική</w:t>
      </w:r>
      <w:proofErr w:type="spellEnd"/>
      <w:r w:rsidRPr="00087891">
        <w:rPr>
          <w:rFonts w:ascii="Verdana" w:hAnsi="Verdana"/>
        </w:rPr>
        <w:t xml:space="preserve"> αγορά. Οι ελληνικές εξαγωγικές επιχειρήσεις που ήδη εξάγουν αλλά και όσες άλλες ενδιαφέρονται για το Αζερμπαϊτζάν μπορούν να ενισχύσουν τις επιδόσεις τους με επιθετικό </w:t>
      </w:r>
      <w:proofErr w:type="spellStart"/>
      <w:r w:rsidRPr="00087891">
        <w:rPr>
          <w:rFonts w:ascii="Verdana" w:hAnsi="Verdana"/>
        </w:rPr>
        <w:t>marketing</w:t>
      </w:r>
      <w:proofErr w:type="spellEnd"/>
      <w:r w:rsidRPr="00087891">
        <w:rPr>
          <w:rFonts w:ascii="Verdana" w:hAnsi="Verdana"/>
        </w:rPr>
        <w:t xml:space="preserve"> και ελκυστική  τιμολογιακή πολιτική. Από την μέχρι τώρα, επί τόπου, διερεύνηση της αγοράς αποκομίσαμε την εντύπωση, ότι τα προϊόντα μεσογειακής διατροφής, όπου διεκδικούμε πρωταγωνιστική θέση, μπορούν να κατακτήσουν μερίδια στο μέλλον. Το ίδιο ισχύει και για τα ποιοτικά </w:t>
      </w:r>
      <w:r w:rsidRPr="00087891">
        <w:rPr>
          <w:rFonts w:ascii="Verdana" w:hAnsi="Verdana"/>
        </w:rPr>
        <w:lastRenderedPageBreak/>
        <w:t xml:space="preserve">δομικά υλικά στοχεύοντας στις πολυτελείς κατασκευές που πραγματοποιούνται στην χώρα για τους πλουσίους κατοίκους. </w:t>
      </w:r>
    </w:p>
    <w:p w:rsidR="00FD0F8B" w:rsidRDefault="009D61BC" w:rsidP="00C00E7E">
      <w:pPr>
        <w:jc w:val="both"/>
        <w:rPr>
          <w:rFonts w:ascii="Verdana" w:hAnsi="Verdana"/>
        </w:rPr>
      </w:pPr>
      <w:r w:rsidRPr="00087891">
        <w:rPr>
          <w:rFonts w:ascii="Verdana" w:hAnsi="Verdana"/>
        </w:rPr>
        <w:t xml:space="preserve">Η αναζήτηση εμπορικών εταίρων και εισαγωγέων μπορεί να εντατικοποιηθεί μέσα από επί τόπου επισκέψεις και επαφές στην χώρα, συμμετοχή στις κλαδικές εκθέσεις και, προ πάντων, με </w:t>
      </w:r>
      <w:proofErr w:type="spellStart"/>
      <w:r w:rsidRPr="00087891">
        <w:rPr>
          <w:rFonts w:ascii="Verdana" w:hAnsi="Verdana"/>
        </w:rPr>
        <w:t>στοχευμένες</w:t>
      </w:r>
      <w:proofErr w:type="spellEnd"/>
      <w:r w:rsidRPr="00087891">
        <w:rPr>
          <w:rFonts w:ascii="Verdana" w:hAnsi="Verdana"/>
        </w:rPr>
        <w:t xml:space="preserve"> προσκλήσεις </w:t>
      </w:r>
      <w:proofErr w:type="spellStart"/>
      <w:r w:rsidRPr="00087891">
        <w:rPr>
          <w:rFonts w:ascii="Verdana" w:hAnsi="Verdana"/>
        </w:rPr>
        <w:t>αζερικών</w:t>
      </w:r>
      <w:proofErr w:type="spellEnd"/>
      <w:r w:rsidRPr="00087891">
        <w:rPr>
          <w:rFonts w:ascii="Verdana" w:hAnsi="Verdana"/>
        </w:rPr>
        <w:t xml:space="preserve"> επιχειρήσεων στην Ελλάδα. Η φιλοξενία και η ενημέρωση των </w:t>
      </w:r>
      <w:proofErr w:type="spellStart"/>
      <w:r w:rsidRPr="00087891">
        <w:rPr>
          <w:rFonts w:ascii="Verdana" w:hAnsi="Verdana"/>
        </w:rPr>
        <w:t>αζέρων</w:t>
      </w:r>
      <w:proofErr w:type="spellEnd"/>
      <w:r w:rsidRPr="00087891">
        <w:rPr>
          <w:rFonts w:ascii="Verdana" w:hAnsi="Verdana"/>
        </w:rPr>
        <w:t xml:space="preserve"> επιχειρηματιών στην χώρα μας θα τους δώσει την δυνατότητα άμεσης επαφής και γνωριμίας με τα ελληνικά προϊόντα και θα διευκολύνει την σύναψη εμπορικών συμφωνιών. Χαρακτηριστικά και σχετικά αναφέρουμε, ότι στην FOOD EXPO </w:t>
      </w:r>
      <w:r w:rsidRPr="00087891">
        <w:rPr>
          <w:rFonts w:ascii="Verdana" w:hAnsi="Verdana"/>
          <w:lang w:val="en-US"/>
        </w:rPr>
        <w:t>GREECE</w:t>
      </w:r>
      <w:r w:rsidRPr="00087891">
        <w:rPr>
          <w:rFonts w:ascii="Verdana" w:hAnsi="Verdana"/>
        </w:rPr>
        <w:t xml:space="preserve"> 2019 </w:t>
      </w:r>
      <w:proofErr w:type="spellStart"/>
      <w:r w:rsidRPr="00087891">
        <w:rPr>
          <w:rFonts w:ascii="Verdana" w:hAnsi="Verdana"/>
        </w:rPr>
        <w:t>φιλοξενήθησαν</w:t>
      </w:r>
      <w:proofErr w:type="spellEnd"/>
      <w:r w:rsidRPr="00087891">
        <w:rPr>
          <w:rFonts w:ascii="Verdana" w:hAnsi="Verdana"/>
        </w:rPr>
        <w:t xml:space="preserve">, μετά από συντονισμένη συνεργασία των οργανωτών και του Γραφείου μας, επτά </w:t>
      </w:r>
      <w:proofErr w:type="spellStart"/>
      <w:r w:rsidRPr="00087891">
        <w:rPr>
          <w:rFonts w:ascii="Verdana" w:hAnsi="Verdana"/>
        </w:rPr>
        <w:t>αζερικές</w:t>
      </w:r>
      <w:proofErr w:type="spellEnd"/>
      <w:r w:rsidRPr="00087891">
        <w:rPr>
          <w:rFonts w:ascii="Verdana" w:hAnsi="Verdana"/>
        </w:rPr>
        <w:t xml:space="preserve"> επιχειρήσεις μεταξύ των οποίων και ο ισχυρότερος επιχειρηματικός όμιλος της χώρας </w:t>
      </w:r>
      <w:r w:rsidRPr="00087891">
        <w:rPr>
          <w:rFonts w:ascii="Verdana" w:hAnsi="Verdana"/>
          <w:lang w:val="en-US"/>
        </w:rPr>
        <w:t>PASHA</w:t>
      </w:r>
      <w:r w:rsidRPr="00087891">
        <w:rPr>
          <w:rFonts w:ascii="Verdana" w:hAnsi="Verdana"/>
        </w:rPr>
        <w:t xml:space="preserve">, στον οποίο ανήκει και η μεγαλύτερη αλυσίδα λιανικής </w:t>
      </w:r>
      <w:r w:rsidRPr="00087891">
        <w:rPr>
          <w:rFonts w:ascii="Verdana" w:hAnsi="Verdana"/>
          <w:lang w:val="en-US"/>
        </w:rPr>
        <w:t>BRAVO</w:t>
      </w:r>
      <w:r w:rsidRPr="00087891">
        <w:rPr>
          <w:rFonts w:ascii="Verdana" w:hAnsi="Verdana"/>
        </w:rPr>
        <w:t>.</w:t>
      </w:r>
    </w:p>
    <w:p w:rsidR="00C00E7E" w:rsidRDefault="00C00E7E" w:rsidP="00C00E7E">
      <w:pPr>
        <w:jc w:val="both"/>
        <w:rPr>
          <w:rFonts w:ascii="Verdana" w:hAnsi="Verdana"/>
        </w:rPr>
      </w:pPr>
    </w:p>
    <w:p w:rsidR="00C00E7E" w:rsidRPr="00C00E7E" w:rsidRDefault="00C00E7E" w:rsidP="00C00E7E">
      <w:pPr>
        <w:jc w:val="both"/>
        <w:rPr>
          <w:rFonts w:ascii="Verdana" w:hAnsi="Verdana" w:cs="Arial"/>
          <w:b/>
          <w:color w:val="002060"/>
          <w:sz w:val="32"/>
          <w:szCs w:val="32"/>
        </w:rPr>
      </w:pPr>
      <w:r w:rsidRPr="00C00E7E">
        <w:rPr>
          <w:rFonts w:ascii="Verdana" w:hAnsi="Verdana"/>
          <w:b/>
          <w:color w:val="002060"/>
        </w:rPr>
        <w:t>-------------------------------------------------------------------------------------</w:t>
      </w:r>
    </w:p>
    <w:p w:rsidR="00C00E7E" w:rsidRPr="00C00E7E" w:rsidRDefault="00C00E7E" w:rsidP="00FD0F8B">
      <w:pPr>
        <w:jc w:val="center"/>
        <w:rPr>
          <w:rFonts w:ascii="Verdana" w:hAnsi="Verdana" w:cs="Arial"/>
          <w:b/>
          <w:color w:val="002060"/>
          <w:sz w:val="32"/>
          <w:szCs w:val="32"/>
        </w:rPr>
      </w:pPr>
    </w:p>
    <w:p w:rsidR="00C00E7E" w:rsidRDefault="00C00E7E" w:rsidP="00FD0F8B">
      <w:pPr>
        <w:jc w:val="center"/>
        <w:rPr>
          <w:rFonts w:ascii="Verdana" w:hAnsi="Verdana" w:cs="Arial"/>
          <w:b/>
          <w:color w:val="002060"/>
          <w:sz w:val="32"/>
          <w:szCs w:val="32"/>
        </w:rPr>
      </w:pPr>
    </w:p>
    <w:p w:rsidR="00C00E7E" w:rsidRDefault="00C00E7E" w:rsidP="00FD0F8B">
      <w:pPr>
        <w:jc w:val="center"/>
        <w:rPr>
          <w:rFonts w:ascii="Verdana" w:hAnsi="Verdana" w:cs="Arial"/>
          <w:b/>
          <w:color w:val="002060"/>
          <w:sz w:val="32"/>
          <w:szCs w:val="32"/>
        </w:rPr>
      </w:pPr>
    </w:p>
    <w:p w:rsidR="00C00E7E" w:rsidRDefault="00C00E7E" w:rsidP="00FD0F8B">
      <w:pPr>
        <w:jc w:val="center"/>
        <w:rPr>
          <w:rFonts w:ascii="Verdana" w:hAnsi="Verdana" w:cs="Arial"/>
          <w:b/>
          <w:color w:val="002060"/>
          <w:sz w:val="32"/>
          <w:szCs w:val="32"/>
        </w:rPr>
      </w:pPr>
    </w:p>
    <w:p w:rsidR="00C00E7E" w:rsidRDefault="00C00E7E" w:rsidP="00FD0F8B">
      <w:pPr>
        <w:jc w:val="center"/>
        <w:rPr>
          <w:rFonts w:ascii="Verdana" w:hAnsi="Verdana" w:cs="Arial"/>
          <w:b/>
          <w:color w:val="002060"/>
          <w:sz w:val="32"/>
          <w:szCs w:val="32"/>
        </w:rPr>
      </w:pPr>
    </w:p>
    <w:p w:rsidR="00C00E7E" w:rsidRDefault="00C00E7E" w:rsidP="00FD0F8B">
      <w:pPr>
        <w:jc w:val="center"/>
        <w:rPr>
          <w:rFonts w:ascii="Verdana" w:hAnsi="Verdana" w:cs="Arial"/>
          <w:b/>
          <w:color w:val="002060"/>
          <w:sz w:val="32"/>
          <w:szCs w:val="32"/>
        </w:rPr>
      </w:pPr>
    </w:p>
    <w:p w:rsidR="00684200" w:rsidRDefault="00684200" w:rsidP="00FD0F8B">
      <w:pPr>
        <w:jc w:val="center"/>
        <w:rPr>
          <w:rFonts w:ascii="Verdana" w:hAnsi="Verdana" w:cs="Arial"/>
          <w:b/>
          <w:color w:val="002060"/>
          <w:sz w:val="32"/>
          <w:szCs w:val="32"/>
        </w:rPr>
      </w:pPr>
    </w:p>
    <w:p w:rsidR="00684200" w:rsidRDefault="00684200" w:rsidP="00FD0F8B">
      <w:pPr>
        <w:jc w:val="center"/>
        <w:rPr>
          <w:rFonts w:ascii="Verdana" w:hAnsi="Verdana" w:cs="Arial"/>
          <w:b/>
          <w:color w:val="002060"/>
          <w:sz w:val="32"/>
          <w:szCs w:val="32"/>
        </w:rPr>
      </w:pPr>
    </w:p>
    <w:p w:rsidR="00684200" w:rsidRDefault="00684200" w:rsidP="00FD0F8B">
      <w:pPr>
        <w:jc w:val="center"/>
        <w:rPr>
          <w:rFonts w:ascii="Verdana" w:hAnsi="Verdana" w:cs="Arial"/>
          <w:b/>
          <w:color w:val="002060"/>
          <w:sz w:val="32"/>
          <w:szCs w:val="32"/>
        </w:rPr>
      </w:pPr>
    </w:p>
    <w:p w:rsidR="00684200" w:rsidRDefault="00684200" w:rsidP="00FD0F8B">
      <w:pPr>
        <w:jc w:val="center"/>
        <w:rPr>
          <w:rFonts w:ascii="Verdana" w:hAnsi="Verdana" w:cs="Arial"/>
          <w:b/>
          <w:color w:val="002060"/>
          <w:sz w:val="32"/>
          <w:szCs w:val="32"/>
        </w:rPr>
      </w:pPr>
    </w:p>
    <w:p w:rsidR="00684200" w:rsidRDefault="00684200" w:rsidP="00FD0F8B">
      <w:pPr>
        <w:jc w:val="center"/>
        <w:rPr>
          <w:rFonts w:ascii="Verdana" w:hAnsi="Verdana" w:cs="Arial"/>
          <w:b/>
          <w:color w:val="002060"/>
          <w:sz w:val="32"/>
          <w:szCs w:val="32"/>
        </w:rPr>
      </w:pPr>
    </w:p>
    <w:p w:rsidR="00684200" w:rsidRDefault="00684200" w:rsidP="00FD0F8B">
      <w:pPr>
        <w:jc w:val="center"/>
        <w:rPr>
          <w:rFonts w:ascii="Verdana" w:hAnsi="Verdana" w:cs="Arial"/>
          <w:b/>
          <w:color w:val="002060"/>
          <w:sz w:val="32"/>
          <w:szCs w:val="32"/>
        </w:rPr>
      </w:pPr>
    </w:p>
    <w:p w:rsidR="00684200" w:rsidRDefault="00684200" w:rsidP="00FD0F8B">
      <w:pPr>
        <w:jc w:val="center"/>
        <w:rPr>
          <w:rFonts w:ascii="Verdana" w:hAnsi="Verdana" w:cs="Arial"/>
          <w:b/>
          <w:color w:val="002060"/>
          <w:sz w:val="32"/>
          <w:szCs w:val="32"/>
        </w:rPr>
      </w:pPr>
    </w:p>
    <w:p w:rsidR="009C1314" w:rsidRDefault="009C1314" w:rsidP="00FD0F8B">
      <w:pPr>
        <w:jc w:val="center"/>
        <w:rPr>
          <w:rFonts w:ascii="Verdana" w:hAnsi="Verdana" w:cs="Arial"/>
          <w:b/>
          <w:color w:val="002060"/>
          <w:sz w:val="32"/>
          <w:szCs w:val="32"/>
        </w:rPr>
      </w:pPr>
      <w:r w:rsidRPr="00FD0F8B">
        <w:rPr>
          <w:rFonts w:ascii="Verdana" w:hAnsi="Verdana" w:cs="Arial"/>
          <w:b/>
          <w:color w:val="002060"/>
          <w:sz w:val="32"/>
          <w:szCs w:val="32"/>
        </w:rPr>
        <w:lastRenderedPageBreak/>
        <w:t>ΚΕΦΑΛΑΙΟ Δ</w:t>
      </w:r>
      <w:r w:rsidR="00FD0F8B">
        <w:rPr>
          <w:rFonts w:ascii="Verdana" w:hAnsi="Verdana" w:cs="Arial"/>
          <w:b/>
          <w:color w:val="002060"/>
          <w:sz w:val="32"/>
          <w:szCs w:val="32"/>
        </w:rPr>
        <w:t>΄</w:t>
      </w:r>
    </w:p>
    <w:tbl>
      <w:tblPr>
        <w:tblStyle w:val="a9"/>
        <w:tblW w:w="0" w:type="auto"/>
        <w:tblLook w:val="04A0" w:firstRow="1" w:lastRow="0" w:firstColumn="1" w:lastColumn="0" w:noHBand="0" w:noVBand="1"/>
      </w:tblPr>
      <w:tblGrid>
        <w:gridCol w:w="4506"/>
        <w:gridCol w:w="4510"/>
      </w:tblGrid>
      <w:tr w:rsidR="00FD0F8B" w:rsidTr="00FD0F8B">
        <w:tc>
          <w:tcPr>
            <w:tcW w:w="9242" w:type="dxa"/>
            <w:gridSpan w:val="2"/>
            <w:shd w:val="clear" w:color="auto" w:fill="DDD9C3" w:themeFill="background2" w:themeFillShade="E6"/>
          </w:tcPr>
          <w:p w:rsidR="00FD0F8B" w:rsidRDefault="00FD0F8B" w:rsidP="00FD0F8B">
            <w:pPr>
              <w:jc w:val="center"/>
              <w:rPr>
                <w:rFonts w:ascii="Verdana" w:hAnsi="Verdana" w:cs="Arial"/>
                <w:color w:val="002060"/>
                <w:sz w:val="32"/>
                <w:szCs w:val="32"/>
              </w:rPr>
            </w:pPr>
            <w:r w:rsidRPr="00FD0F8B">
              <w:rPr>
                <w:rFonts w:ascii="Verdana" w:hAnsi="Verdana" w:cs="Arial"/>
                <w:b/>
                <w:sz w:val="28"/>
                <w:szCs w:val="28"/>
              </w:rPr>
              <w:t>ΧΡΗΣΙΜΕΣ ΔΙΕΥΘΥΝΣΕΙΣ</w:t>
            </w:r>
          </w:p>
        </w:tc>
      </w:tr>
      <w:tr w:rsidR="00E81366" w:rsidRPr="0006405D" w:rsidTr="00E81366">
        <w:tc>
          <w:tcPr>
            <w:tcW w:w="4621" w:type="dxa"/>
          </w:tcPr>
          <w:p w:rsidR="00E81366" w:rsidRPr="00E81366" w:rsidRDefault="00E81366" w:rsidP="00E81366">
            <w:pPr>
              <w:pStyle w:val="Default"/>
              <w:rPr>
                <w:rFonts w:ascii="Verdana" w:hAnsi="Verdana" w:cs="Times New Roman"/>
                <w:b/>
                <w:bCs/>
                <w:sz w:val="20"/>
                <w:szCs w:val="20"/>
              </w:rPr>
            </w:pPr>
            <w:r w:rsidRPr="00E81366">
              <w:rPr>
                <w:rFonts w:ascii="Verdana" w:hAnsi="Verdana" w:cs="Times New Roman"/>
                <w:b/>
                <w:bCs/>
                <w:sz w:val="20"/>
                <w:szCs w:val="20"/>
              </w:rPr>
              <w:t xml:space="preserve">ΥΠΟΥΡΓΕΙΟ ΟΙΚΟΝΟΜΙΑΣ ΚΑΙ ΒΙΟΜΗΧΑΝΙΑΣ </w:t>
            </w:r>
          </w:p>
          <w:p w:rsidR="00E81366" w:rsidRPr="00E81366" w:rsidRDefault="00E81366" w:rsidP="00E81366">
            <w:pPr>
              <w:pStyle w:val="Default"/>
              <w:rPr>
                <w:rFonts w:ascii="Verdana" w:hAnsi="Verdana" w:cs="Times New Roman"/>
                <w:sz w:val="20"/>
                <w:szCs w:val="20"/>
              </w:rPr>
            </w:pPr>
            <w:r w:rsidRPr="00E81366">
              <w:rPr>
                <w:rFonts w:ascii="Verdana" w:hAnsi="Verdana" w:cs="Times New Roman"/>
                <w:sz w:val="20"/>
                <w:szCs w:val="20"/>
              </w:rPr>
              <w:t>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r w:rsidRPr="00E81366">
              <w:rPr>
                <w:rFonts w:ascii="Verdana" w:hAnsi="Verdana" w:cs="Times New Roman"/>
                <w:sz w:val="20"/>
                <w:szCs w:val="20"/>
                <w:lang w:val="az-Latn-AZ"/>
              </w:rPr>
              <w:t>84</w:t>
            </w:r>
            <w:r w:rsidRPr="00E81366">
              <w:rPr>
                <w:rFonts w:ascii="Verdana" w:hAnsi="Verdana" w:cs="Times New Roman"/>
                <w:sz w:val="20"/>
                <w:szCs w:val="20"/>
              </w:rPr>
              <w:t xml:space="preserve">, </w:t>
            </w:r>
            <w:r w:rsidRPr="00E81366">
              <w:rPr>
                <w:rFonts w:ascii="Verdana" w:hAnsi="Verdana" w:cs="Times New Roman"/>
                <w:sz w:val="20"/>
                <w:szCs w:val="20"/>
                <w:lang w:val="en-US"/>
              </w:rPr>
              <w:t>U</w:t>
            </w:r>
            <w:r w:rsidRPr="00E81366">
              <w:rPr>
                <w:rFonts w:ascii="Verdana" w:hAnsi="Verdana" w:cs="Times New Roman"/>
                <w:sz w:val="20"/>
                <w:szCs w:val="20"/>
              </w:rPr>
              <w:t>.</w:t>
            </w:r>
            <w:proofErr w:type="spellStart"/>
            <w:r w:rsidRPr="00E81366">
              <w:rPr>
                <w:rFonts w:ascii="Verdana" w:hAnsi="Verdana" w:cs="Times New Roman"/>
                <w:sz w:val="20"/>
                <w:szCs w:val="20"/>
                <w:lang w:val="en-US"/>
              </w:rPr>
              <w:t>Hacibeyov</w:t>
            </w:r>
            <w:proofErr w:type="spellEnd"/>
            <w:r w:rsidRPr="00E81366">
              <w:rPr>
                <w:rFonts w:ascii="Verdana" w:hAnsi="Verdana" w:cs="Times New Roman"/>
                <w:sz w:val="20"/>
                <w:szCs w:val="20"/>
              </w:rPr>
              <w:t xml:space="preserve"> </w:t>
            </w:r>
            <w:r w:rsidRPr="00E81366">
              <w:rPr>
                <w:rFonts w:ascii="Verdana" w:hAnsi="Verdana" w:cs="Times New Roman"/>
                <w:sz w:val="20"/>
                <w:szCs w:val="20"/>
                <w:lang w:val="en-US"/>
              </w:rPr>
              <w:t>str</w:t>
            </w:r>
            <w:r w:rsidRPr="00E81366">
              <w:rPr>
                <w:rFonts w:ascii="Verdana" w:hAnsi="Verdana" w:cs="Times New Roman"/>
                <w:sz w:val="20"/>
                <w:szCs w:val="20"/>
              </w:rPr>
              <w:t>.</w:t>
            </w:r>
          </w:p>
          <w:p w:rsidR="00E81366" w:rsidRP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Τηλ</w:t>
            </w:r>
            <w:proofErr w:type="spellEnd"/>
            <w:r w:rsidRPr="00E81366">
              <w:rPr>
                <w:rFonts w:ascii="Verdana" w:hAnsi="Verdana" w:cs="Times New Roman"/>
                <w:sz w:val="20"/>
                <w:szCs w:val="20"/>
              </w:rPr>
              <w:t>:  (0099 412) 493 88 67</w:t>
            </w:r>
          </w:p>
          <w:p w:rsidR="00E81366" w:rsidRP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Ηλ</w:t>
            </w:r>
            <w:proofErr w:type="spellEnd"/>
            <w:r w:rsidRPr="00E81366">
              <w:rPr>
                <w:rFonts w:ascii="Verdana" w:hAnsi="Verdana" w:cs="Times New Roman"/>
                <w:sz w:val="20"/>
                <w:szCs w:val="20"/>
              </w:rPr>
              <w:t>. 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hyperlink r:id="rId14" w:history="1">
              <w:r w:rsidRPr="00E81366">
                <w:rPr>
                  <w:rStyle w:val="-"/>
                  <w:rFonts w:ascii="Verdana" w:eastAsiaTheme="majorEastAsia" w:hAnsi="Verdana" w:cs="Times New Roman"/>
                  <w:sz w:val="20"/>
                  <w:szCs w:val="20"/>
                  <w:lang w:val="en-US"/>
                </w:rPr>
                <w:t>office</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economy</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gov</w:t>
              </w:r>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en-US"/>
                </w:rPr>
                <w:t>az</w:t>
              </w:r>
              <w:proofErr w:type="spellEnd"/>
            </w:hyperlink>
          </w:p>
          <w:p w:rsidR="00E81366" w:rsidRPr="000048A3" w:rsidRDefault="00E81366" w:rsidP="00E81366">
            <w:pPr>
              <w:pStyle w:val="Default"/>
              <w:rPr>
                <w:rFonts w:ascii="Verdana" w:hAnsi="Verdana"/>
                <w:sz w:val="20"/>
                <w:szCs w:val="20"/>
                <w:lang w:val="en-US"/>
              </w:rPr>
            </w:pPr>
            <w:r w:rsidRPr="00E81366">
              <w:rPr>
                <w:rFonts w:ascii="Verdana" w:hAnsi="Verdana" w:cs="Times New Roman"/>
                <w:sz w:val="20"/>
                <w:szCs w:val="20"/>
                <w:lang w:val="en-US"/>
              </w:rPr>
              <w:t xml:space="preserve">Web: </w:t>
            </w:r>
            <w:hyperlink r:id="rId15" w:history="1">
              <w:r w:rsidRPr="00E81366">
                <w:rPr>
                  <w:rStyle w:val="-"/>
                  <w:rFonts w:ascii="Verdana" w:eastAsiaTheme="majorEastAsia" w:hAnsi="Verdana" w:cs="Times New Roman"/>
                  <w:sz w:val="20"/>
                  <w:szCs w:val="20"/>
                  <w:lang w:val="en-US"/>
                </w:rPr>
                <w:t>http://www.economy.gov.az/</w:t>
              </w:r>
            </w:hyperlink>
          </w:p>
        </w:tc>
        <w:tc>
          <w:tcPr>
            <w:tcW w:w="4621" w:type="dxa"/>
          </w:tcPr>
          <w:p w:rsidR="00E81366" w:rsidRPr="000048A3" w:rsidRDefault="00E81366" w:rsidP="00E81366">
            <w:pPr>
              <w:pStyle w:val="Default"/>
              <w:rPr>
                <w:rFonts w:ascii="Verdana" w:hAnsi="Verdana" w:cs="Times New Roman"/>
                <w:b/>
                <w:bCs/>
                <w:sz w:val="20"/>
                <w:szCs w:val="20"/>
                <w:lang w:val="en-US"/>
              </w:rPr>
            </w:pPr>
            <w:r w:rsidRPr="00E81366">
              <w:rPr>
                <w:rFonts w:ascii="Verdana" w:hAnsi="Verdana" w:cs="Times New Roman"/>
                <w:b/>
                <w:bCs/>
                <w:sz w:val="20"/>
                <w:szCs w:val="20"/>
              </w:rPr>
              <w:t>ΥΠΟΥΡΓΕΙΟ</w:t>
            </w:r>
            <w:r w:rsidRPr="000048A3">
              <w:rPr>
                <w:rFonts w:ascii="Verdana" w:hAnsi="Verdana" w:cs="Times New Roman"/>
                <w:b/>
                <w:bCs/>
                <w:sz w:val="20"/>
                <w:szCs w:val="20"/>
                <w:lang w:val="en-US"/>
              </w:rPr>
              <w:t xml:space="preserve"> </w:t>
            </w:r>
            <w:r w:rsidRPr="00E81366">
              <w:rPr>
                <w:rFonts w:ascii="Verdana" w:hAnsi="Verdana" w:cs="Times New Roman"/>
                <w:b/>
                <w:bCs/>
                <w:sz w:val="20"/>
                <w:szCs w:val="20"/>
              </w:rPr>
              <w:t>ΦΟΡΩΝ</w:t>
            </w:r>
            <w:r w:rsidRPr="000048A3">
              <w:rPr>
                <w:rFonts w:ascii="Verdana" w:hAnsi="Verdana" w:cs="Times New Roman"/>
                <w:b/>
                <w:bCs/>
                <w:sz w:val="20"/>
                <w:szCs w:val="20"/>
                <w:lang w:val="en-US"/>
              </w:rPr>
              <w:t xml:space="preserve"> </w:t>
            </w:r>
          </w:p>
          <w:p w:rsidR="00E81366" w:rsidRPr="000048A3" w:rsidRDefault="00E81366" w:rsidP="00E81366">
            <w:pPr>
              <w:pStyle w:val="Default"/>
              <w:rPr>
                <w:rFonts w:ascii="Verdana" w:hAnsi="Verdana" w:cs="Times New Roman"/>
                <w:sz w:val="20"/>
                <w:szCs w:val="20"/>
                <w:lang w:val="en-US"/>
              </w:rPr>
            </w:pPr>
            <w:r w:rsidRPr="00E81366">
              <w:rPr>
                <w:rFonts w:ascii="Verdana" w:hAnsi="Verdana" w:cs="Times New Roman"/>
                <w:sz w:val="20"/>
                <w:szCs w:val="20"/>
              </w:rPr>
              <w:t>Δ</w:t>
            </w:r>
            <w:r w:rsidRPr="000048A3">
              <w:rPr>
                <w:rFonts w:ascii="Verdana" w:hAnsi="Verdana" w:cs="Times New Roman"/>
                <w:sz w:val="20"/>
                <w:szCs w:val="20"/>
                <w:lang w:val="en-US"/>
              </w:rPr>
              <w:t>/</w:t>
            </w:r>
            <w:proofErr w:type="spellStart"/>
            <w:r w:rsidRPr="00E81366">
              <w:rPr>
                <w:rFonts w:ascii="Verdana" w:hAnsi="Verdana" w:cs="Times New Roman"/>
                <w:sz w:val="20"/>
                <w:szCs w:val="20"/>
              </w:rPr>
              <w:t>νση</w:t>
            </w:r>
            <w:proofErr w:type="spellEnd"/>
            <w:r w:rsidRPr="000048A3">
              <w:rPr>
                <w:rFonts w:ascii="Verdana" w:hAnsi="Verdana" w:cs="Times New Roman"/>
                <w:sz w:val="20"/>
                <w:szCs w:val="20"/>
                <w:lang w:val="en-US"/>
              </w:rPr>
              <w:t xml:space="preserve">: </w:t>
            </w:r>
            <w:r w:rsidRPr="00E81366">
              <w:rPr>
                <w:rFonts w:ascii="Verdana" w:hAnsi="Verdana" w:cs="Times New Roman"/>
                <w:sz w:val="20"/>
                <w:szCs w:val="20"/>
                <w:lang w:val="en-US"/>
              </w:rPr>
              <w:t>Az</w:t>
            </w:r>
            <w:r w:rsidRPr="000048A3">
              <w:rPr>
                <w:rFonts w:ascii="Verdana" w:hAnsi="Verdana" w:cs="Times New Roman"/>
                <w:sz w:val="20"/>
                <w:szCs w:val="20"/>
                <w:lang w:val="en-US"/>
              </w:rPr>
              <w:t xml:space="preserve">1073, 16, </w:t>
            </w:r>
            <w:r w:rsidRPr="00E81366">
              <w:rPr>
                <w:rFonts w:ascii="Verdana" w:hAnsi="Verdana" w:cs="Times New Roman"/>
                <w:sz w:val="20"/>
                <w:szCs w:val="20"/>
                <w:lang w:val="en-US"/>
              </w:rPr>
              <w:t>Landau</w:t>
            </w:r>
            <w:r w:rsidRPr="000048A3">
              <w:rPr>
                <w:rFonts w:ascii="Verdana" w:hAnsi="Verdana" w:cs="Times New Roman"/>
                <w:sz w:val="20"/>
                <w:szCs w:val="20"/>
                <w:lang w:val="en-US"/>
              </w:rPr>
              <w:t xml:space="preserve"> </w:t>
            </w:r>
            <w:r w:rsidRPr="00E81366">
              <w:rPr>
                <w:rFonts w:ascii="Verdana" w:hAnsi="Verdana" w:cs="Times New Roman"/>
                <w:sz w:val="20"/>
                <w:szCs w:val="20"/>
                <w:lang w:val="en-US"/>
              </w:rPr>
              <w:t>str</w:t>
            </w:r>
            <w:r w:rsidRPr="000048A3">
              <w:rPr>
                <w:rFonts w:ascii="Verdana" w:hAnsi="Verdana" w:cs="Times New Roman"/>
                <w:sz w:val="20"/>
                <w:szCs w:val="20"/>
                <w:lang w:val="en-US"/>
              </w:rPr>
              <w:t>.</w:t>
            </w:r>
          </w:p>
          <w:p w:rsidR="00E81366" w:rsidRP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Τηλ</w:t>
            </w:r>
            <w:proofErr w:type="spellEnd"/>
            <w:r w:rsidRPr="00E81366">
              <w:rPr>
                <w:rFonts w:ascii="Verdana" w:hAnsi="Verdana" w:cs="Times New Roman"/>
                <w:sz w:val="20"/>
                <w:szCs w:val="20"/>
              </w:rPr>
              <w:t>:  (0099 412) 403 8970</w:t>
            </w:r>
          </w:p>
          <w:p w:rsidR="00E81366" w:rsidRP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Ηλ</w:t>
            </w:r>
            <w:proofErr w:type="spellEnd"/>
            <w:r w:rsidRPr="00E81366">
              <w:rPr>
                <w:rFonts w:ascii="Verdana" w:hAnsi="Verdana" w:cs="Times New Roman"/>
                <w:sz w:val="20"/>
                <w:szCs w:val="20"/>
              </w:rPr>
              <w:t>. 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hyperlink r:id="rId16" w:history="1">
              <w:r w:rsidRPr="00E81366">
                <w:rPr>
                  <w:rStyle w:val="-"/>
                  <w:rFonts w:ascii="Verdana" w:eastAsiaTheme="majorEastAsia" w:hAnsi="Verdana" w:cs="Times New Roman"/>
                  <w:sz w:val="20"/>
                  <w:szCs w:val="20"/>
                  <w:lang w:val="en-US"/>
                </w:rPr>
                <w:t>office</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taxes</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gov</w:t>
              </w:r>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en-US"/>
                </w:rPr>
                <w:t>az</w:t>
              </w:r>
              <w:proofErr w:type="spellEnd"/>
            </w:hyperlink>
          </w:p>
          <w:p w:rsidR="00E81366" w:rsidRPr="00E81366" w:rsidRDefault="00E81366" w:rsidP="00E81366">
            <w:pPr>
              <w:pStyle w:val="Default"/>
              <w:rPr>
                <w:rFonts w:ascii="Verdana" w:hAnsi="Verdana" w:cs="Times New Roman"/>
                <w:sz w:val="20"/>
                <w:szCs w:val="20"/>
                <w:lang w:val="en-US"/>
              </w:rPr>
            </w:pPr>
            <w:r w:rsidRPr="00E81366">
              <w:rPr>
                <w:rFonts w:ascii="Verdana" w:hAnsi="Verdana" w:cs="Times New Roman"/>
                <w:sz w:val="20"/>
                <w:szCs w:val="20"/>
                <w:lang w:val="en-US"/>
              </w:rPr>
              <w:t xml:space="preserve">Web: </w:t>
            </w:r>
            <w:hyperlink r:id="rId17" w:history="1">
              <w:r w:rsidRPr="00E81366">
                <w:rPr>
                  <w:rStyle w:val="-"/>
                  <w:rFonts w:ascii="Verdana" w:eastAsiaTheme="majorEastAsia" w:hAnsi="Verdana" w:cs="Times New Roman"/>
                  <w:sz w:val="20"/>
                  <w:szCs w:val="20"/>
                  <w:lang w:val="en-US"/>
                </w:rPr>
                <w:t>http://www.taxes.gov.az</w:t>
              </w:r>
            </w:hyperlink>
          </w:p>
          <w:p w:rsidR="00E81366" w:rsidRPr="000048A3" w:rsidRDefault="00E81366" w:rsidP="00A61430">
            <w:pPr>
              <w:jc w:val="both"/>
              <w:rPr>
                <w:rFonts w:ascii="Verdana" w:hAnsi="Verdana"/>
                <w:sz w:val="20"/>
                <w:szCs w:val="20"/>
                <w:lang w:val="en-US"/>
              </w:rPr>
            </w:pPr>
          </w:p>
        </w:tc>
      </w:tr>
      <w:tr w:rsidR="00E81366" w:rsidRPr="0006405D" w:rsidTr="00E81366">
        <w:tc>
          <w:tcPr>
            <w:tcW w:w="4621" w:type="dxa"/>
          </w:tcPr>
          <w:p w:rsidR="00E81366" w:rsidRPr="00E81366" w:rsidRDefault="00E81366" w:rsidP="00E81366">
            <w:pPr>
              <w:pStyle w:val="Default"/>
              <w:rPr>
                <w:rFonts w:ascii="Verdana" w:hAnsi="Verdana" w:cs="Times New Roman"/>
                <w:b/>
                <w:bCs/>
                <w:sz w:val="20"/>
                <w:szCs w:val="20"/>
              </w:rPr>
            </w:pPr>
            <w:r w:rsidRPr="00E81366">
              <w:rPr>
                <w:rFonts w:ascii="Verdana" w:hAnsi="Verdana" w:cs="Times New Roman"/>
                <w:b/>
                <w:bCs/>
                <w:sz w:val="20"/>
                <w:szCs w:val="20"/>
              </w:rPr>
              <w:t xml:space="preserve">ΥΠΟΥΡΓΕΙΟ ΟΙΚΟΝΟΜΙΚΏΝ </w:t>
            </w:r>
          </w:p>
          <w:p w:rsidR="00E81366" w:rsidRPr="00E81366" w:rsidRDefault="00E81366" w:rsidP="00E81366">
            <w:pPr>
              <w:pStyle w:val="Default"/>
              <w:rPr>
                <w:rFonts w:ascii="Verdana" w:hAnsi="Verdana" w:cs="Times New Roman"/>
                <w:sz w:val="20"/>
                <w:szCs w:val="20"/>
              </w:rPr>
            </w:pPr>
            <w:r w:rsidRPr="00E81366">
              <w:rPr>
                <w:rFonts w:ascii="Verdana" w:hAnsi="Verdana" w:cs="Times New Roman"/>
                <w:sz w:val="20"/>
                <w:szCs w:val="20"/>
              </w:rPr>
              <w:t>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r w:rsidRPr="00E81366">
              <w:rPr>
                <w:rFonts w:ascii="Verdana" w:hAnsi="Verdana" w:cs="Times New Roman"/>
                <w:sz w:val="20"/>
                <w:szCs w:val="20"/>
                <w:lang w:val="en-US"/>
              </w:rPr>
              <w:t>Az</w:t>
            </w:r>
            <w:r w:rsidRPr="00E81366">
              <w:rPr>
                <w:rFonts w:ascii="Verdana" w:hAnsi="Verdana" w:cs="Times New Roman"/>
                <w:sz w:val="20"/>
                <w:szCs w:val="20"/>
              </w:rPr>
              <w:t xml:space="preserve">1022, 83, </w:t>
            </w:r>
            <w:r w:rsidRPr="00E81366">
              <w:rPr>
                <w:rFonts w:ascii="Verdana" w:hAnsi="Verdana" w:cs="Times New Roman"/>
                <w:sz w:val="20"/>
                <w:szCs w:val="20"/>
                <w:lang w:val="en-US"/>
              </w:rPr>
              <w:t>S</w:t>
            </w:r>
            <w:r w:rsidRPr="00E81366">
              <w:rPr>
                <w:rFonts w:ascii="Verdana" w:hAnsi="Verdana" w:cs="Times New Roman"/>
                <w:sz w:val="20"/>
                <w:szCs w:val="20"/>
              </w:rPr>
              <w:t>.</w:t>
            </w:r>
            <w:proofErr w:type="spellStart"/>
            <w:r w:rsidRPr="00E81366">
              <w:rPr>
                <w:rFonts w:ascii="Verdana" w:hAnsi="Verdana" w:cs="Times New Roman"/>
                <w:sz w:val="20"/>
                <w:szCs w:val="20"/>
                <w:lang w:val="en-US"/>
              </w:rPr>
              <w:t>Vurgun</w:t>
            </w:r>
            <w:proofErr w:type="spellEnd"/>
            <w:r w:rsidRPr="00E81366">
              <w:rPr>
                <w:rFonts w:ascii="Verdana" w:hAnsi="Verdana" w:cs="Times New Roman"/>
                <w:sz w:val="20"/>
                <w:szCs w:val="20"/>
                <w:lang w:val="en-US"/>
              </w:rPr>
              <w:t> str</w:t>
            </w:r>
            <w:r w:rsidRPr="00E81366">
              <w:rPr>
                <w:rFonts w:ascii="Verdana" w:hAnsi="Verdana" w:cs="Times New Roman"/>
                <w:sz w:val="20"/>
                <w:szCs w:val="20"/>
              </w:rPr>
              <w:t>.</w:t>
            </w:r>
          </w:p>
          <w:p w:rsidR="00E81366" w:rsidRP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Τηλ</w:t>
            </w:r>
            <w:proofErr w:type="spellEnd"/>
            <w:r w:rsidRPr="00E81366">
              <w:rPr>
                <w:rFonts w:ascii="Verdana" w:hAnsi="Verdana" w:cs="Times New Roman"/>
                <w:sz w:val="20"/>
                <w:szCs w:val="20"/>
              </w:rPr>
              <w:t>:  (0099 412) 4044708</w:t>
            </w:r>
          </w:p>
          <w:p w:rsidR="00E81366" w:rsidRP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Ηλ</w:t>
            </w:r>
            <w:proofErr w:type="spellEnd"/>
            <w:r w:rsidRPr="00E81366">
              <w:rPr>
                <w:rFonts w:ascii="Verdana" w:hAnsi="Verdana" w:cs="Times New Roman"/>
                <w:sz w:val="20"/>
                <w:szCs w:val="20"/>
              </w:rPr>
              <w:t>. 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hyperlink r:id="rId18" w:history="1">
              <w:r w:rsidRPr="00E81366">
                <w:rPr>
                  <w:rStyle w:val="-"/>
                  <w:rFonts w:ascii="Verdana" w:eastAsiaTheme="majorEastAsia" w:hAnsi="Verdana" w:cs="Times New Roman"/>
                  <w:sz w:val="20"/>
                  <w:szCs w:val="20"/>
                  <w:lang w:val="fr-FR"/>
                </w:rPr>
                <w:t>office</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fr-FR"/>
                </w:rPr>
                <w:t>maliyye</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fr-FR"/>
                </w:rPr>
                <w:t>gov</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fr-FR"/>
                </w:rPr>
                <w:t>az</w:t>
              </w:r>
            </w:hyperlink>
            <w:r w:rsidRPr="00E81366">
              <w:rPr>
                <w:rFonts w:ascii="Verdana" w:hAnsi="Verdana" w:cs="Times New Roman"/>
                <w:sz w:val="20"/>
                <w:szCs w:val="20"/>
              </w:rPr>
              <w:br/>
            </w:r>
            <w:r w:rsidRPr="00E81366">
              <w:rPr>
                <w:rFonts w:ascii="Verdana" w:hAnsi="Verdana" w:cs="Times New Roman"/>
                <w:sz w:val="20"/>
                <w:szCs w:val="20"/>
                <w:lang w:val="fr-FR"/>
              </w:rPr>
              <w:t>Web</w:t>
            </w:r>
            <w:r w:rsidRPr="00E81366">
              <w:rPr>
                <w:rFonts w:ascii="Verdana" w:hAnsi="Verdana" w:cs="Times New Roman"/>
                <w:sz w:val="20"/>
                <w:szCs w:val="20"/>
              </w:rPr>
              <w:t xml:space="preserve">: </w:t>
            </w:r>
            <w:hyperlink r:id="rId19" w:history="1">
              <w:r w:rsidRPr="00E81366">
                <w:rPr>
                  <w:rStyle w:val="-"/>
                  <w:rFonts w:ascii="Verdana" w:eastAsiaTheme="majorEastAsia" w:hAnsi="Verdana" w:cs="Times New Roman"/>
                  <w:sz w:val="20"/>
                  <w:szCs w:val="20"/>
                  <w:lang w:val="fr-FR"/>
                </w:rPr>
                <w:t>www</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fr-FR"/>
                </w:rPr>
                <w:t>maliyye</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fr-FR"/>
                </w:rPr>
                <w:t>gov</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fr-FR"/>
                </w:rPr>
                <w:t>az</w:t>
              </w:r>
            </w:hyperlink>
            <w:r w:rsidRPr="00E81366">
              <w:rPr>
                <w:rFonts w:ascii="Verdana" w:hAnsi="Verdana" w:cs="Times New Roman"/>
                <w:sz w:val="20"/>
                <w:szCs w:val="20"/>
              </w:rPr>
              <w:t xml:space="preserve">,  </w:t>
            </w:r>
            <w:hyperlink r:id="rId20" w:history="1">
              <w:r w:rsidRPr="00E81366">
                <w:rPr>
                  <w:rStyle w:val="-"/>
                  <w:rFonts w:ascii="Verdana" w:eastAsiaTheme="majorEastAsia" w:hAnsi="Verdana" w:cs="Times New Roman"/>
                  <w:sz w:val="20"/>
                  <w:szCs w:val="20"/>
                  <w:lang w:val="fr-FR"/>
                </w:rPr>
                <w:t>www</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fr-FR"/>
                </w:rPr>
                <w:t>finance</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fr-FR"/>
                </w:rPr>
                <w:t>gov</w:t>
              </w:r>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fr-FR"/>
                </w:rPr>
                <w:t>az</w:t>
              </w:r>
              <w:proofErr w:type="spellEnd"/>
            </w:hyperlink>
          </w:p>
          <w:p w:rsidR="00E81366" w:rsidRPr="00E81366" w:rsidRDefault="00E81366" w:rsidP="00E81366">
            <w:pPr>
              <w:pStyle w:val="Default"/>
              <w:rPr>
                <w:rFonts w:ascii="Verdana" w:hAnsi="Verdana" w:cs="Times New Roman"/>
                <w:color w:val="auto"/>
                <w:sz w:val="20"/>
                <w:szCs w:val="20"/>
              </w:rPr>
            </w:pPr>
          </w:p>
          <w:p w:rsidR="00E81366" w:rsidRPr="00E81366" w:rsidRDefault="00E81366" w:rsidP="00A61430">
            <w:pPr>
              <w:jc w:val="both"/>
              <w:rPr>
                <w:rFonts w:ascii="Verdana" w:hAnsi="Verdana"/>
                <w:sz w:val="20"/>
                <w:szCs w:val="20"/>
              </w:rPr>
            </w:pPr>
          </w:p>
        </w:tc>
        <w:tc>
          <w:tcPr>
            <w:tcW w:w="4621" w:type="dxa"/>
          </w:tcPr>
          <w:p w:rsidR="00E81366" w:rsidRPr="00E81366" w:rsidRDefault="00E81366" w:rsidP="00E81366">
            <w:pPr>
              <w:pStyle w:val="Default"/>
              <w:rPr>
                <w:rFonts w:ascii="Verdana" w:hAnsi="Verdana" w:cs="Times New Roman"/>
                <w:b/>
                <w:bCs/>
                <w:color w:val="auto"/>
                <w:sz w:val="20"/>
                <w:szCs w:val="20"/>
              </w:rPr>
            </w:pPr>
            <w:r w:rsidRPr="00E81366">
              <w:rPr>
                <w:rFonts w:ascii="Verdana" w:hAnsi="Verdana" w:cs="Times New Roman"/>
                <w:b/>
                <w:bCs/>
                <w:color w:val="auto"/>
                <w:sz w:val="20"/>
                <w:szCs w:val="20"/>
              </w:rPr>
              <w:t xml:space="preserve">ΥΠΟΥΡΓΕΙΟ ΕΝΕΡΓΕΙΑΣ </w:t>
            </w:r>
          </w:p>
          <w:p w:rsidR="00E81366" w:rsidRPr="00E81366" w:rsidRDefault="00E81366" w:rsidP="00E81366">
            <w:pPr>
              <w:pStyle w:val="Default"/>
              <w:rPr>
                <w:rFonts w:ascii="Verdana" w:hAnsi="Verdana" w:cs="Times New Roman"/>
                <w:sz w:val="20"/>
                <w:szCs w:val="20"/>
              </w:rPr>
            </w:pPr>
            <w:r w:rsidRPr="00E81366">
              <w:rPr>
                <w:rFonts w:ascii="Verdana" w:hAnsi="Verdana" w:cs="Times New Roman"/>
                <w:sz w:val="20"/>
                <w:szCs w:val="20"/>
              </w:rPr>
              <w:t>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r w:rsidRPr="00E81366">
              <w:rPr>
                <w:rFonts w:ascii="Verdana" w:hAnsi="Verdana" w:cs="Times New Roman"/>
                <w:sz w:val="20"/>
                <w:szCs w:val="20"/>
                <w:lang w:val="en-US"/>
              </w:rPr>
              <w:t>Az</w:t>
            </w:r>
            <w:r w:rsidRPr="00E81366">
              <w:rPr>
                <w:rFonts w:ascii="Verdana" w:hAnsi="Verdana" w:cs="Times New Roman"/>
                <w:sz w:val="20"/>
                <w:szCs w:val="20"/>
              </w:rPr>
              <w:t xml:space="preserve">1000, </w:t>
            </w:r>
            <w:r w:rsidRPr="00E81366">
              <w:rPr>
                <w:rFonts w:ascii="Verdana" w:hAnsi="Verdana" w:cs="Times New Roman"/>
                <w:sz w:val="20"/>
                <w:szCs w:val="20"/>
                <w:lang w:val="en-US"/>
              </w:rPr>
              <w:t>Government</w:t>
            </w:r>
            <w:r w:rsidRPr="00E81366">
              <w:rPr>
                <w:rFonts w:ascii="Verdana" w:hAnsi="Verdana" w:cs="Times New Roman"/>
                <w:sz w:val="20"/>
                <w:szCs w:val="20"/>
              </w:rPr>
              <w:t xml:space="preserve"> </w:t>
            </w:r>
            <w:r w:rsidRPr="00E81366">
              <w:rPr>
                <w:rFonts w:ascii="Verdana" w:hAnsi="Verdana" w:cs="Times New Roman"/>
                <w:sz w:val="20"/>
                <w:szCs w:val="20"/>
                <w:lang w:val="en-US"/>
              </w:rPr>
              <w:t>House</w:t>
            </w:r>
            <w:r w:rsidRPr="00E81366">
              <w:rPr>
                <w:rFonts w:ascii="Verdana" w:hAnsi="Verdana" w:cs="Times New Roman"/>
                <w:sz w:val="20"/>
                <w:szCs w:val="20"/>
              </w:rPr>
              <w:t xml:space="preserve">, 84, </w:t>
            </w:r>
            <w:r w:rsidRPr="00E81366">
              <w:rPr>
                <w:rFonts w:ascii="Verdana" w:hAnsi="Verdana" w:cs="Times New Roman"/>
                <w:sz w:val="20"/>
                <w:szCs w:val="20"/>
                <w:lang w:val="en-US"/>
              </w:rPr>
              <w:t>Uzeyir</w:t>
            </w:r>
            <w:r w:rsidRPr="00E81366">
              <w:rPr>
                <w:rFonts w:ascii="Verdana" w:hAnsi="Verdana" w:cs="Times New Roman"/>
                <w:sz w:val="20"/>
                <w:szCs w:val="20"/>
              </w:rPr>
              <w:t xml:space="preserve"> </w:t>
            </w:r>
            <w:r w:rsidRPr="00E81366">
              <w:rPr>
                <w:rFonts w:ascii="Verdana" w:hAnsi="Verdana" w:cs="Times New Roman"/>
                <w:sz w:val="20"/>
                <w:szCs w:val="20"/>
                <w:lang w:val="en-US"/>
              </w:rPr>
              <w:t>Hajibeyov</w:t>
            </w:r>
            <w:r w:rsidRPr="00E81366">
              <w:rPr>
                <w:rFonts w:ascii="Verdana" w:hAnsi="Verdana" w:cs="Times New Roman"/>
                <w:sz w:val="20"/>
                <w:szCs w:val="20"/>
              </w:rPr>
              <w:t xml:space="preserve"> </w:t>
            </w:r>
            <w:r w:rsidRPr="00E81366">
              <w:rPr>
                <w:rFonts w:ascii="Verdana" w:hAnsi="Verdana" w:cs="Times New Roman"/>
                <w:sz w:val="20"/>
                <w:szCs w:val="20"/>
                <w:lang w:val="en-US"/>
              </w:rPr>
              <w:t>str</w:t>
            </w:r>
            <w:r w:rsidRPr="00E81366">
              <w:rPr>
                <w:rFonts w:ascii="Verdana" w:hAnsi="Verdana" w:cs="Times New Roman"/>
                <w:sz w:val="20"/>
                <w:szCs w:val="20"/>
              </w:rPr>
              <w:t>.</w:t>
            </w:r>
          </w:p>
          <w:p w:rsidR="00E81366" w:rsidRP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Τηλ</w:t>
            </w:r>
            <w:proofErr w:type="spellEnd"/>
            <w:r w:rsidRPr="00E81366">
              <w:rPr>
                <w:rFonts w:ascii="Verdana" w:hAnsi="Verdana" w:cs="Times New Roman"/>
                <w:sz w:val="20"/>
                <w:szCs w:val="20"/>
              </w:rPr>
              <w:t xml:space="preserve">:  (0099 412) 5981653, 5981654, </w:t>
            </w:r>
          </w:p>
          <w:p w:rsidR="00E81366" w:rsidRPr="00E81366" w:rsidRDefault="00E81366" w:rsidP="00E81366">
            <w:pPr>
              <w:pStyle w:val="Default"/>
              <w:rPr>
                <w:rFonts w:ascii="Verdana" w:hAnsi="Verdana" w:cs="Times New Roman"/>
                <w:color w:val="auto"/>
                <w:sz w:val="20"/>
                <w:szCs w:val="20"/>
                <w:lang w:val="fr-FR"/>
              </w:rPr>
            </w:pPr>
            <w:proofErr w:type="spellStart"/>
            <w:r w:rsidRPr="00E81366">
              <w:rPr>
                <w:rFonts w:ascii="Verdana" w:hAnsi="Verdana" w:cs="Times New Roman"/>
                <w:color w:val="auto"/>
                <w:sz w:val="20"/>
                <w:szCs w:val="20"/>
              </w:rPr>
              <w:t>Ηλ</w:t>
            </w:r>
            <w:proofErr w:type="spellEnd"/>
            <w:r w:rsidRPr="00E81366">
              <w:rPr>
                <w:rFonts w:ascii="Verdana" w:hAnsi="Verdana" w:cs="Times New Roman"/>
                <w:color w:val="auto"/>
                <w:sz w:val="20"/>
                <w:szCs w:val="20"/>
              </w:rPr>
              <w:t>. δ/</w:t>
            </w:r>
            <w:proofErr w:type="spellStart"/>
            <w:r w:rsidRPr="00E81366">
              <w:rPr>
                <w:rFonts w:ascii="Verdana" w:hAnsi="Verdana" w:cs="Times New Roman"/>
                <w:color w:val="auto"/>
                <w:sz w:val="20"/>
                <w:szCs w:val="20"/>
              </w:rPr>
              <w:t>νση</w:t>
            </w:r>
            <w:proofErr w:type="spellEnd"/>
            <w:r w:rsidRPr="00E81366">
              <w:rPr>
                <w:rFonts w:ascii="Verdana" w:hAnsi="Verdana" w:cs="Times New Roman"/>
                <w:color w:val="auto"/>
                <w:sz w:val="20"/>
                <w:szCs w:val="20"/>
              </w:rPr>
              <w:t xml:space="preserve">: </w:t>
            </w:r>
            <w:r w:rsidRPr="00E81366">
              <w:rPr>
                <w:rFonts w:ascii="Verdana" w:hAnsi="Verdana" w:cs="Times New Roman"/>
                <w:sz w:val="20"/>
                <w:szCs w:val="20"/>
                <w:lang w:val="fr-FR"/>
              </w:rPr>
              <w:t>minenergy@minenergy.gov.az</w:t>
            </w:r>
          </w:p>
          <w:p w:rsidR="00E81366" w:rsidRPr="000048A3" w:rsidRDefault="00E81366" w:rsidP="00E81366">
            <w:pPr>
              <w:pStyle w:val="Default"/>
              <w:rPr>
                <w:rFonts w:ascii="Verdana" w:hAnsi="Verdana"/>
                <w:sz w:val="20"/>
                <w:szCs w:val="20"/>
                <w:lang w:val="en-US"/>
              </w:rPr>
            </w:pPr>
            <w:r w:rsidRPr="00E81366">
              <w:rPr>
                <w:rFonts w:ascii="Verdana" w:hAnsi="Verdana" w:cs="Times New Roman"/>
                <w:color w:val="auto"/>
                <w:sz w:val="20"/>
                <w:szCs w:val="20"/>
                <w:lang w:val="en-US"/>
              </w:rPr>
              <w:t>Web:</w:t>
            </w:r>
            <w:r w:rsidRPr="00E81366">
              <w:rPr>
                <w:rFonts w:ascii="Verdana" w:hAnsi="Verdana" w:cs="Times New Roman"/>
                <w:color w:val="0000FF"/>
                <w:sz w:val="20"/>
                <w:szCs w:val="20"/>
                <w:lang w:val="en-US"/>
              </w:rPr>
              <w:t xml:space="preserve"> </w:t>
            </w:r>
            <w:hyperlink r:id="rId21" w:history="1">
              <w:r w:rsidRPr="00E81366">
                <w:rPr>
                  <w:rStyle w:val="-"/>
                  <w:rFonts w:ascii="Verdana" w:eastAsiaTheme="majorEastAsia" w:hAnsi="Verdana" w:cs="Times New Roman"/>
                  <w:sz w:val="20"/>
                  <w:szCs w:val="20"/>
                  <w:lang w:val="en-US"/>
                </w:rPr>
                <w:t>http://www.minenergy.gov.az</w:t>
              </w:r>
            </w:hyperlink>
          </w:p>
        </w:tc>
      </w:tr>
      <w:tr w:rsidR="00E81366" w:rsidRPr="0006405D" w:rsidTr="00E81366">
        <w:tc>
          <w:tcPr>
            <w:tcW w:w="4621" w:type="dxa"/>
          </w:tcPr>
          <w:p w:rsidR="00E81366" w:rsidRPr="00652FAE" w:rsidRDefault="00E81366" w:rsidP="00E81366">
            <w:pPr>
              <w:pStyle w:val="Default"/>
              <w:rPr>
                <w:rFonts w:ascii="Verdana" w:hAnsi="Verdana" w:cs="Times New Roman"/>
                <w:b/>
                <w:bCs/>
                <w:color w:val="auto"/>
                <w:sz w:val="20"/>
                <w:szCs w:val="20"/>
              </w:rPr>
            </w:pPr>
            <w:r w:rsidRPr="00E81366">
              <w:rPr>
                <w:rFonts w:ascii="Verdana" w:hAnsi="Verdana" w:cs="Times New Roman"/>
                <w:b/>
                <w:bCs/>
                <w:color w:val="auto"/>
                <w:sz w:val="20"/>
                <w:szCs w:val="20"/>
              </w:rPr>
              <w:t>ΚΡΑΤΙΚΗ</w:t>
            </w:r>
            <w:r w:rsidRPr="00652FAE">
              <w:rPr>
                <w:rFonts w:ascii="Verdana" w:hAnsi="Verdana" w:cs="Times New Roman"/>
                <w:b/>
                <w:bCs/>
                <w:color w:val="auto"/>
                <w:sz w:val="20"/>
                <w:szCs w:val="20"/>
              </w:rPr>
              <w:t xml:space="preserve"> </w:t>
            </w:r>
            <w:r w:rsidRPr="00E81366">
              <w:rPr>
                <w:rFonts w:ascii="Verdana" w:hAnsi="Verdana" w:cs="Times New Roman"/>
                <w:b/>
                <w:bCs/>
                <w:color w:val="auto"/>
                <w:sz w:val="20"/>
                <w:szCs w:val="20"/>
              </w:rPr>
              <w:t>ΕΠΙΤΡΟΠΗ</w:t>
            </w:r>
            <w:r w:rsidRPr="00652FAE">
              <w:rPr>
                <w:rFonts w:ascii="Verdana" w:hAnsi="Verdana" w:cs="Times New Roman"/>
                <w:b/>
                <w:bCs/>
                <w:color w:val="auto"/>
                <w:sz w:val="20"/>
                <w:szCs w:val="20"/>
              </w:rPr>
              <w:t xml:space="preserve"> </w:t>
            </w:r>
            <w:r w:rsidRPr="00E81366">
              <w:rPr>
                <w:rFonts w:ascii="Verdana" w:hAnsi="Verdana" w:cs="Times New Roman"/>
                <w:b/>
                <w:bCs/>
                <w:color w:val="auto"/>
                <w:sz w:val="20"/>
                <w:szCs w:val="20"/>
              </w:rPr>
              <w:t>ΤΕΛΩΝΕΙΩΝ</w:t>
            </w:r>
          </w:p>
          <w:p w:rsidR="00E81366" w:rsidRPr="00E81366" w:rsidRDefault="00E81366" w:rsidP="00E81366">
            <w:pPr>
              <w:pStyle w:val="Default"/>
              <w:rPr>
                <w:rFonts w:ascii="Verdana" w:hAnsi="Verdana" w:cs="Times New Roman"/>
                <w:sz w:val="20"/>
                <w:szCs w:val="20"/>
              </w:rPr>
            </w:pPr>
            <w:r w:rsidRPr="00E81366">
              <w:rPr>
                <w:rFonts w:ascii="Verdana" w:hAnsi="Verdana" w:cs="Times New Roman"/>
                <w:sz w:val="20"/>
                <w:szCs w:val="20"/>
              </w:rPr>
              <w:t>Δ</w:t>
            </w:r>
            <w:r w:rsidRPr="00652FAE">
              <w:rPr>
                <w:rFonts w:ascii="Verdana" w:hAnsi="Verdana" w:cs="Times New Roman"/>
                <w:sz w:val="20"/>
                <w:szCs w:val="20"/>
              </w:rPr>
              <w:t>/</w:t>
            </w:r>
            <w:proofErr w:type="spellStart"/>
            <w:r w:rsidRPr="00E81366">
              <w:rPr>
                <w:rFonts w:ascii="Verdana" w:hAnsi="Verdana" w:cs="Times New Roman"/>
                <w:sz w:val="20"/>
                <w:szCs w:val="20"/>
              </w:rPr>
              <w:t>νση</w:t>
            </w:r>
            <w:proofErr w:type="spellEnd"/>
            <w:r w:rsidRPr="00652FAE">
              <w:rPr>
                <w:rFonts w:ascii="Verdana" w:hAnsi="Verdana" w:cs="Times New Roman"/>
                <w:sz w:val="20"/>
                <w:szCs w:val="20"/>
              </w:rPr>
              <w:t xml:space="preserve">: </w:t>
            </w:r>
            <w:r w:rsidRPr="00E81366">
              <w:rPr>
                <w:rFonts w:ascii="Verdana" w:hAnsi="Verdana" w:cs="Times New Roman"/>
                <w:sz w:val="20"/>
                <w:szCs w:val="20"/>
                <w:lang w:val="en-US"/>
              </w:rPr>
              <w:t>AZ</w:t>
            </w:r>
            <w:r w:rsidRPr="00652FAE">
              <w:rPr>
                <w:rFonts w:ascii="Verdana" w:hAnsi="Verdana" w:cs="Times New Roman"/>
                <w:sz w:val="20"/>
                <w:szCs w:val="20"/>
              </w:rPr>
              <w:t xml:space="preserve">1073, 2, </w:t>
            </w:r>
            <w:proofErr w:type="spellStart"/>
            <w:r w:rsidRPr="00E81366">
              <w:rPr>
                <w:rFonts w:ascii="Verdana" w:hAnsi="Verdana" w:cs="Times New Roman"/>
                <w:sz w:val="20"/>
                <w:szCs w:val="20"/>
                <w:lang w:val="en-US"/>
              </w:rPr>
              <w:t>Inshaatchilar</w:t>
            </w:r>
            <w:proofErr w:type="spellEnd"/>
            <w:r w:rsidRPr="00652FAE">
              <w:rPr>
                <w:rFonts w:ascii="Verdana" w:hAnsi="Verdana" w:cs="Times New Roman"/>
                <w:sz w:val="20"/>
                <w:szCs w:val="20"/>
              </w:rPr>
              <w:t xml:space="preserve"> </w:t>
            </w:r>
            <w:proofErr w:type="spellStart"/>
            <w:r w:rsidRPr="00E81366">
              <w:rPr>
                <w:rFonts w:ascii="Verdana" w:hAnsi="Verdana" w:cs="Times New Roman"/>
                <w:sz w:val="20"/>
                <w:szCs w:val="20"/>
                <w:lang w:val="en-US"/>
              </w:rPr>
              <w:t>ave</w:t>
            </w:r>
            <w:proofErr w:type="spellEnd"/>
            <w:r w:rsidRPr="00652FAE">
              <w:rPr>
                <w:rFonts w:ascii="Verdana" w:hAnsi="Verdana" w:cs="Times New Roman"/>
                <w:sz w:val="20"/>
                <w:szCs w:val="20"/>
              </w:rPr>
              <w:t>.</w:t>
            </w:r>
            <w:r w:rsidRPr="00652FAE">
              <w:rPr>
                <w:rFonts w:ascii="Verdana" w:hAnsi="Verdana" w:cs="Times New Roman"/>
                <w:sz w:val="20"/>
                <w:szCs w:val="20"/>
              </w:rPr>
              <w:br/>
            </w:r>
            <w:proofErr w:type="spellStart"/>
            <w:r w:rsidRPr="00E81366">
              <w:rPr>
                <w:rFonts w:ascii="Verdana" w:hAnsi="Verdana" w:cs="Times New Roman"/>
                <w:sz w:val="20"/>
                <w:szCs w:val="20"/>
              </w:rPr>
              <w:t>Τηλ</w:t>
            </w:r>
            <w:proofErr w:type="spellEnd"/>
            <w:r w:rsidRPr="00E81366">
              <w:rPr>
                <w:rFonts w:ascii="Verdana" w:hAnsi="Verdana" w:cs="Times New Roman"/>
                <w:sz w:val="20"/>
                <w:szCs w:val="20"/>
              </w:rPr>
              <w:t>:  (99412) 404-22-00</w:t>
            </w:r>
            <w:r w:rsidRPr="00E81366">
              <w:rPr>
                <w:rFonts w:ascii="Verdana" w:hAnsi="Verdana" w:cs="Times New Roman"/>
                <w:sz w:val="20"/>
                <w:szCs w:val="20"/>
              </w:rPr>
              <w:br/>
            </w:r>
            <w:proofErr w:type="spellStart"/>
            <w:r w:rsidRPr="00E81366">
              <w:rPr>
                <w:rFonts w:ascii="Verdana" w:hAnsi="Verdana" w:cs="Times New Roman"/>
                <w:sz w:val="20"/>
                <w:szCs w:val="20"/>
              </w:rPr>
              <w:t>Ηλ</w:t>
            </w:r>
            <w:proofErr w:type="spellEnd"/>
            <w:r w:rsidRPr="00E81366">
              <w:rPr>
                <w:rFonts w:ascii="Verdana" w:hAnsi="Verdana" w:cs="Times New Roman"/>
                <w:sz w:val="20"/>
                <w:szCs w:val="20"/>
              </w:rPr>
              <w:t>. 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hyperlink r:id="rId22" w:history="1">
              <w:r w:rsidRPr="00E81366">
                <w:rPr>
                  <w:rStyle w:val="-"/>
                  <w:rFonts w:ascii="Verdana" w:eastAsiaTheme="majorEastAsia" w:hAnsi="Verdana" w:cs="Times New Roman"/>
                  <w:sz w:val="20"/>
                  <w:szCs w:val="20"/>
                  <w:lang w:val="en-US"/>
                </w:rPr>
                <w:t>international</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customs</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gov</w:t>
              </w:r>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en-US"/>
                </w:rPr>
                <w:t>az</w:t>
              </w:r>
              <w:proofErr w:type="spellEnd"/>
            </w:hyperlink>
          </w:p>
          <w:p w:rsidR="00E81366" w:rsidRPr="00E81366" w:rsidRDefault="00E81366" w:rsidP="00E81366">
            <w:pPr>
              <w:pStyle w:val="Default"/>
              <w:rPr>
                <w:rFonts w:ascii="Verdana" w:hAnsi="Verdana" w:cs="Times New Roman"/>
                <w:sz w:val="20"/>
                <w:szCs w:val="20"/>
              </w:rPr>
            </w:pPr>
            <w:r w:rsidRPr="00E81366">
              <w:rPr>
                <w:rFonts w:ascii="Verdana" w:hAnsi="Verdana" w:cs="Times New Roman"/>
                <w:sz w:val="20"/>
                <w:szCs w:val="20"/>
                <w:lang w:val="en-US"/>
              </w:rPr>
              <w:t>Web</w:t>
            </w:r>
            <w:r w:rsidRPr="00E81366">
              <w:rPr>
                <w:rFonts w:ascii="Verdana" w:hAnsi="Verdana" w:cs="Times New Roman"/>
                <w:sz w:val="20"/>
                <w:szCs w:val="20"/>
              </w:rPr>
              <w:t xml:space="preserve">: </w:t>
            </w:r>
            <w:hyperlink r:id="rId23" w:history="1">
              <w:r w:rsidRPr="00E81366">
                <w:rPr>
                  <w:rStyle w:val="-"/>
                  <w:rFonts w:ascii="Verdana" w:eastAsiaTheme="majorEastAsia" w:hAnsi="Verdana" w:cs="Times New Roman"/>
                  <w:sz w:val="20"/>
                  <w:szCs w:val="20"/>
                  <w:lang w:val="en-US"/>
                </w:rPr>
                <w:t>www</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customs</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gov</w:t>
              </w:r>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en-US"/>
                </w:rPr>
                <w:t>az</w:t>
              </w:r>
              <w:proofErr w:type="spellEnd"/>
            </w:hyperlink>
          </w:p>
          <w:p w:rsidR="00E81366" w:rsidRPr="00E81366" w:rsidRDefault="00E81366" w:rsidP="00A61430">
            <w:pPr>
              <w:jc w:val="both"/>
              <w:rPr>
                <w:rFonts w:ascii="Verdana" w:hAnsi="Verdana"/>
                <w:sz w:val="20"/>
                <w:szCs w:val="20"/>
              </w:rPr>
            </w:pPr>
          </w:p>
        </w:tc>
        <w:tc>
          <w:tcPr>
            <w:tcW w:w="4621" w:type="dxa"/>
          </w:tcPr>
          <w:p w:rsidR="00E81366" w:rsidRPr="00E81366" w:rsidRDefault="00E81366" w:rsidP="00E81366">
            <w:pPr>
              <w:pStyle w:val="Default"/>
              <w:rPr>
                <w:rFonts w:ascii="Verdana" w:hAnsi="Verdana" w:cs="Times New Roman"/>
                <w:b/>
                <w:bCs/>
                <w:sz w:val="20"/>
                <w:szCs w:val="20"/>
              </w:rPr>
            </w:pPr>
            <w:r w:rsidRPr="00E81366">
              <w:rPr>
                <w:rFonts w:ascii="Verdana" w:hAnsi="Verdana" w:cs="Times New Roman"/>
                <w:b/>
                <w:bCs/>
                <w:sz w:val="20"/>
                <w:szCs w:val="20"/>
              </w:rPr>
              <w:t xml:space="preserve">ΚΡΑΤΙΚΗ ΣΤΑΤΙΣΤΙΚΗ ΥΠΗΡΕΣΙΑ </w:t>
            </w:r>
          </w:p>
          <w:p w:rsidR="00E81366" w:rsidRPr="00E81366" w:rsidRDefault="00E81366" w:rsidP="00E81366">
            <w:pPr>
              <w:pStyle w:val="Default"/>
              <w:rPr>
                <w:rFonts w:ascii="Verdana" w:hAnsi="Verdana" w:cs="Times New Roman"/>
                <w:sz w:val="20"/>
                <w:szCs w:val="20"/>
              </w:rPr>
            </w:pPr>
            <w:r w:rsidRPr="00E81366">
              <w:rPr>
                <w:rFonts w:ascii="Verdana" w:hAnsi="Verdana" w:cs="Times New Roman"/>
                <w:sz w:val="20"/>
                <w:szCs w:val="20"/>
              </w:rPr>
              <w:t>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r w:rsidRPr="00E81366">
              <w:rPr>
                <w:rFonts w:ascii="Verdana" w:hAnsi="Verdana" w:cs="Times New Roman"/>
                <w:sz w:val="20"/>
                <w:szCs w:val="20"/>
                <w:lang w:val="en-US"/>
              </w:rPr>
              <w:t>Az</w:t>
            </w:r>
            <w:r w:rsidRPr="00E81366">
              <w:rPr>
                <w:rFonts w:ascii="Verdana" w:hAnsi="Verdana" w:cs="Times New Roman"/>
                <w:sz w:val="20"/>
                <w:szCs w:val="20"/>
              </w:rPr>
              <w:t xml:space="preserve">1136, </w:t>
            </w:r>
            <w:proofErr w:type="spellStart"/>
            <w:r w:rsidRPr="00E81366">
              <w:rPr>
                <w:rFonts w:ascii="Verdana" w:hAnsi="Verdana" w:cs="Times New Roman"/>
                <w:sz w:val="20"/>
                <w:szCs w:val="20"/>
                <w:lang w:val="en-US"/>
              </w:rPr>
              <w:t>Inshaatchilar</w:t>
            </w:r>
            <w:proofErr w:type="spellEnd"/>
            <w:r w:rsidRPr="00E81366">
              <w:rPr>
                <w:rFonts w:ascii="Verdana" w:hAnsi="Verdana" w:cs="Times New Roman"/>
                <w:sz w:val="20"/>
                <w:szCs w:val="20"/>
              </w:rPr>
              <w:t xml:space="preserve"> </w:t>
            </w:r>
            <w:proofErr w:type="spellStart"/>
            <w:r w:rsidRPr="00E81366">
              <w:rPr>
                <w:rFonts w:ascii="Verdana" w:hAnsi="Verdana" w:cs="Times New Roman"/>
                <w:sz w:val="20"/>
                <w:szCs w:val="20"/>
                <w:lang w:val="en-US"/>
              </w:rPr>
              <w:t>ave</w:t>
            </w:r>
            <w:proofErr w:type="spellEnd"/>
            <w:r w:rsidRPr="00E81366">
              <w:rPr>
                <w:rFonts w:ascii="Verdana" w:hAnsi="Verdana" w:cs="Times New Roman"/>
                <w:sz w:val="20"/>
                <w:szCs w:val="20"/>
              </w:rPr>
              <w:t>. 81</w:t>
            </w:r>
          </w:p>
          <w:p w:rsid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Τηλ</w:t>
            </w:r>
            <w:proofErr w:type="spellEnd"/>
            <w:r w:rsidRPr="00E81366">
              <w:rPr>
                <w:rFonts w:ascii="Verdana" w:hAnsi="Verdana" w:cs="Times New Roman"/>
                <w:sz w:val="20"/>
                <w:szCs w:val="20"/>
              </w:rPr>
              <w:t xml:space="preserve">:  (0099 412) 538 6498, 538 9376, </w:t>
            </w:r>
          </w:p>
          <w:p w:rsidR="00E81366" w:rsidRPr="00E81366" w:rsidRDefault="00E81366" w:rsidP="00E81366">
            <w:pPr>
              <w:pStyle w:val="Default"/>
              <w:rPr>
                <w:rFonts w:ascii="Verdana" w:hAnsi="Verdana" w:cs="Times New Roman"/>
                <w:sz w:val="20"/>
                <w:szCs w:val="20"/>
              </w:rPr>
            </w:pPr>
            <w:proofErr w:type="spellStart"/>
            <w:r w:rsidRPr="00E81366">
              <w:rPr>
                <w:rFonts w:ascii="Verdana" w:hAnsi="Verdana" w:cs="Times New Roman"/>
                <w:sz w:val="20"/>
                <w:szCs w:val="20"/>
              </w:rPr>
              <w:t>Ηλ</w:t>
            </w:r>
            <w:proofErr w:type="spellEnd"/>
            <w:r w:rsidRPr="00E81366">
              <w:rPr>
                <w:rFonts w:ascii="Verdana" w:hAnsi="Verdana" w:cs="Times New Roman"/>
                <w:sz w:val="20"/>
                <w:szCs w:val="20"/>
              </w:rPr>
              <w:t>. 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xml:space="preserve">:  </w:t>
            </w:r>
            <w:hyperlink r:id="rId24" w:history="1">
              <w:r w:rsidRPr="00E81366">
                <w:rPr>
                  <w:rStyle w:val="-"/>
                  <w:rFonts w:ascii="Verdana" w:eastAsiaTheme="majorEastAsia" w:hAnsi="Verdana" w:cs="Times New Roman"/>
                  <w:sz w:val="20"/>
                  <w:szCs w:val="20"/>
                  <w:lang w:val="en-US"/>
                </w:rPr>
                <w:t>sc</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azstat</w:t>
              </w:r>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org</w:t>
              </w:r>
            </w:hyperlink>
          </w:p>
          <w:p w:rsidR="00E81366" w:rsidRPr="000048A3" w:rsidRDefault="00E81366" w:rsidP="00E81366">
            <w:pPr>
              <w:pStyle w:val="Default"/>
              <w:rPr>
                <w:rFonts w:ascii="Verdana" w:hAnsi="Verdana"/>
                <w:sz w:val="20"/>
                <w:szCs w:val="20"/>
                <w:lang w:val="en-US"/>
              </w:rPr>
            </w:pPr>
            <w:r w:rsidRPr="00E81366">
              <w:rPr>
                <w:rFonts w:ascii="Verdana" w:hAnsi="Verdana" w:cs="Times New Roman"/>
                <w:sz w:val="20"/>
                <w:szCs w:val="20"/>
                <w:lang w:val="en-US"/>
              </w:rPr>
              <w:t xml:space="preserve">Web: </w:t>
            </w:r>
            <w:hyperlink r:id="rId25" w:history="1">
              <w:r w:rsidRPr="00E81366">
                <w:rPr>
                  <w:rStyle w:val="-"/>
                  <w:rFonts w:ascii="Verdana" w:eastAsiaTheme="majorEastAsia" w:hAnsi="Verdana" w:cs="Times New Roman"/>
                  <w:sz w:val="20"/>
                  <w:szCs w:val="20"/>
                  <w:lang w:val="en-US"/>
                </w:rPr>
                <w:t>http://www.stat.gov.az</w:t>
              </w:r>
            </w:hyperlink>
            <w:r w:rsidRPr="00E81366">
              <w:rPr>
                <w:rFonts w:ascii="Verdana" w:hAnsi="Verdana" w:cs="Times New Roman"/>
                <w:sz w:val="20"/>
                <w:szCs w:val="20"/>
                <w:lang w:val="en-US"/>
              </w:rPr>
              <w:t xml:space="preserve"> </w:t>
            </w:r>
          </w:p>
        </w:tc>
      </w:tr>
      <w:tr w:rsidR="00E81366" w:rsidRPr="00E81366" w:rsidTr="00E81366">
        <w:tc>
          <w:tcPr>
            <w:tcW w:w="4621" w:type="dxa"/>
          </w:tcPr>
          <w:p w:rsidR="00E81366" w:rsidRPr="00652FAE" w:rsidRDefault="00E81366" w:rsidP="00E81366">
            <w:pPr>
              <w:pStyle w:val="Default"/>
              <w:rPr>
                <w:rFonts w:ascii="Verdana" w:hAnsi="Verdana" w:cs="Times New Roman"/>
                <w:b/>
                <w:bCs/>
                <w:color w:val="auto"/>
                <w:sz w:val="20"/>
                <w:szCs w:val="20"/>
              </w:rPr>
            </w:pPr>
            <w:r w:rsidRPr="00E81366">
              <w:rPr>
                <w:rFonts w:ascii="Verdana" w:hAnsi="Verdana" w:cs="Times New Roman"/>
                <w:b/>
                <w:bCs/>
                <w:color w:val="auto"/>
                <w:sz w:val="20"/>
                <w:szCs w:val="20"/>
              </w:rPr>
              <w:t>ΚΡΑΤΙΚΗ</w:t>
            </w:r>
            <w:r w:rsidRPr="00652FAE">
              <w:rPr>
                <w:rFonts w:ascii="Verdana" w:hAnsi="Verdana" w:cs="Times New Roman"/>
                <w:b/>
                <w:bCs/>
                <w:color w:val="auto"/>
                <w:sz w:val="20"/>
                <w:szCs w:val="20"/>
              </w:rPr>
              <w:t xml:space="preserve"> </w:t>
            </w:r>
            <w:r w:rsidRPr="00E81366">
              <w:rPr>
                <w:rFonts w:ascii="Verdana" w:hAnsi="Verdana" w:cs="Times New Roman"/>
                <w:b/>
                <w:bCs/>
                <w:color w:val="auto"/>
                <w:sz w:val="20"/>
                <w:szCs w:val="20"/>
              </w:rPr>
              <w:t>ΕΤΑΙΡΕΙΑ</w:t>
            </w:r>
            <w:r w:rsidRPr="00652FAE">
              <w:rPr>
                <w:rFonts w:ascii="Verdana" w:hAnsi="Verdana" w:cs="Times New Roman"/>
                <w:b/>
                <w:bCs/>
                <w:color w:val="auto"/>
                <w:sz w:val="20"/>
                <w:szCs w:val="20"/>
              </w:rPr>
              <w:t xml:space="preserve"> </w:t>
            </w:r>
            <w:r w:rsidRPr="00E81366">
              <w:rPr>
                <w:rFonts w:ascii="Verdana" w:hAnsi="Verdana" w:cs="Times New Roman"/>
                <w:b/>
                <w:bCs/>
                <w:color w:val="auto"/>
                <w:sz w:val="20"/>
                <w:szCs w:val="20"/>
              </w:rPr>
              <w:t>ΠΕΤΡΕΛΑΙΟΥ</w:t>
            </w:r>
            <w:r w:rsidRPr="00652FAE">
              <w:rPr>
                <w:rFonts w:ascii="Verdana" w:hAnsi="Verdana" w:cs="Times New Roman"/>
                <w:b/>
                <w:bCs/>
                <w:color w:val="auto"/>
                <w:sz w:val="20"/>
                <w:szCs w:val="20"/>
              </w:rPr>
              <w:t xml:space="preserve"> (</w:t>
            </w:r>
            <w:r w:rsidRPr="00E81366">
              <w:rPr>
                <w:rFonts w:ascii="Verdana" w:hAnsi="Verdana" w:cs="Times New Roman"/>
                <w:b/>
                <w:bCs/>
                <w:color w:val="auto"/>
                <w:sz w:val="20"/>
                <w:szCs w:val="20"/>
                <w:lang w:val="en-US"/>
              </w:rPr>
              <w:t>SOCAR</w:t>
            </w:r>
            <w:r w:rsidRPr="00652FAE">
              <w:rPr>
                <w:rFonts w:ascii="Verdana" w:hAnsi="Verdana" w:cs="Times New Roman"/>
                <w:b/>
                <w:bCs/>
                <w:color w:val="auto"/>
                <w:sz w:val="20"/>
                <w:szCs w:val="20"/>
              </w:rPr>
              <w:t>)</w:t>
            </w:r>
          </w:p>
          <w:p w:rsidR="00E81366" w:rsidRPr="00652FAE" w:rsidRDefault="00E81366" w:rsidP="00E81366">
            <w:pPr>
              <w:pStyle w:val="Default"/>
              <w:rPr>
                <w:rFonts w:ascii="Verdana" w:hAnsi="Verdana" w:cs="Times New Roman"/>
                <w:sz w:val="20"/>
                <w:szCs w:val="20"/>
              </w:rPr>
            </w:pPr>
            <w:r w:rsidRPr="00E81366">
              <w:rPr>
                <w:rFonts w:ascii="Verdana" w:hAnsi="Verdana" w:cs="Times New Roman"/>
                <w:sz w:val="20"/>
                <w:szCs w:val="20"/>
              </w:rPr>
              <w:t>Δ</w:t>
            </w:r>
            <w:r w:rsidRPr="00652FAE">
              <w:rPr>
                <w:rFonts w:ascii="Verdana" w:hAnsi="Verdana" w:cs="Times New Roman"/>
                <w:sz w:val="20"/>
                <w:szCs w:val="20"/>
              </w:rPr>
              <w:t>/</w:t>
            </w:r>
            <w:proofErr w:type="spellStart"/>
            <w:r w:rsidRPr="00E81366">
              <w:rPr>
                <w:rFonts w:ascii="Verdana" w:hAnsi="Verdana" w:cs="Times New Roman"/>
                <w:sz w:val="20"/>
                <w:szCs w:val="20"/>
              </w:rPr>
              <w:t>νση</w:t>
            </w:r>
            <w:proofErr w:type="spellEnd"/>
            <w:r w:rsidRPr="00652FAE">
              <w:rPr>
                <w:rFonts w:ascii="Verdana" w:hAnsi="Verdana" w:cs="Times New Roman"/>
                <w:sz w:val="20"/>
                <w:szCs w:val="20"/>
              </w:rPr>
              <w:t xml:space="preserve">: </w:t>
            </w:r>
            <w:r w:rsidRPr="00E81366">
              <w:rPr>
                <w:rFonts w:ascii="Verdana" w:hAnsi="Verdana" w:cs="Times New Roman"/>
                <w:sz w:val="20"/>
                <w:szCs w:val="20"/>
                <w:lang w:val="en-US"/>
              </w:rPr>
              <w:t>AZ</w:t>
            </w:r>
            <w:r w:rsidRPr="00652FAE">
              <w:rPr>
                <w:rFonts w:ascii="Verdana" w:hAnsi="Verdana" w:cs="Times New Roman"/>
                <w:sz w:val="20"/>
                <w:szCs w:val="20"/>
              </w:rPr>
              <w:t xml:space="preserve">1000, 73 </w:t>
            </w:r>
            <w:proofErr w:type="spellStart"/>
            <w:r w:rsidRPr="00E81366">
              <w:rPr>
                <w:rFonts w:ascii="Verdana" w:hAnsi="Verdana" w:cs="Times New Roman"/>
                <w:sz w:val="20"/>
                <w:szCs w:val="20"/>
                <w:lang w:val="en-US"/>
              </w:rPr>
              <w:t>Neftchilar</w:t>
            </w:r>
            <w:proofErr w:type="spellEnd"/>
            <w:r w:rsidRPr="00652FAE">
              <w:rPr>
                <w:rFonts w:ascii="Verdana" w:hAnsi="Verdana" w:cs="Times New Roman"/>
                <w:sz w:val="20"/>
                <w:szCs w:val="20"/>
              </w:rPr>
              <w:t xml:space="preserve"> </w:t>
            </w:r>
            <w:proofErr w:type="spellStart"/>
            <w:r w:rsidRPr="00E81366">
              <w:rPr>
                <w:rFonts w:ascii="Verdana" w:hAnsi="Verdana" w:cs="Times New Roman"/>
                <w:sz w:val="20"/>
                <w:szCs w:val="20"/>
                <w:lang w:val="en-US"/>
              </w:rPr>
              <w:t>ave</w:t>
            </w:r>
            <w:proofErr w:type="spellEnd"/>
            <w:r w:rsidRPr="00652FAE">
              <w:rPr>
                <w:rFonts w:ascii="Verdana" w:hAnsi="Verdana" w:cs="Times New Roman"/>
                <w:sz w:val="20"/>
                <w:szCs w:val="20"/>
              </w:rPr>
              <w:t>.</w:t>
            </w:r>
          </w:p>
          <w:p w:rsidR="00E81366" w:rsidRPr="00E81366" w:rsidRDefault="00E81366" w:rsidP="00E81366">
            <w:pPr>
              <w:pStyle w:val="Default"/>
              <w:rPr>
                <w:rFonts w:ascii="Verdana" w:hAnsi="Verdana" w:cs="Times New Roman"/>
                <w:color w:val="auto"/>
                <w:sz w:val="20"/>
                <w:szCs w:val="20"/>
              </w:rPr>
            </w:pPr>
            <w:proofErr w:type="spellStart"/>
            <w:r w:rsidRPr="00E81366">
              <w:rPr>
                <w:rFonts w:ascii="Verdana" w:hAnsi="Verdana" w:cs="Times New Roman"/>
                <w:color w:val="auto"/>
                <w:sz w:val="20"/>
                <w:szCs w:val="20"/>
              </w:rPr>
              <w:t>Τηλ</w:t>
            </w:r>
            <w:proofErr w:type="spellEnd"/>
            <w:r w:rsidRPr="00E81366">
              <w:rPr>
                <w:rFonts w:ascii="Verdana" w:hAnsi="Verdana" w:cs="Times New Roman"/>
                <w:color w:val="auto"/>
                <w:sz w:val="20"/>
                <w:szCs w:val="20"/>
              </w:rPr>
              <w:t>:  (0099 412) 521 02 82</w:t>
            </w:r>
          </w:p>
          <w:p w:rsidR="00E81366" w:rsidRPr="00E81366" w:rsidRDefault="00E81366" w:rsidP="00E81366">
            <w:pPr>
              <w:pStyle w:val="Default"/>
              <w:rPr>
                <w:rFonts w:ascii="Verdana" w:hAnsi="Verdana" w:cs="Times New Roman"/>
                <w:color w:val="auto"/>
                <w:sz w:val="20"/>
                <w:szCs w:val="20"/>
              </w:rPr>
            </w:pPr>
            <w:proofErr w:type="spellStart"/>
            <w:r w:rsidRPr="00E81366">
              <w:rPr>
                <w:rFonts w:ascii="Verdana" w:hAnsi="Verdana" w:cs="Times New Roman"/>
                <w:color w:val="auto"/>
                <w:sz w:val="20"/>
                <w:szCs w:val="20"/>
              </w:rPr>
              <w:t>Ηλ</w:t>
            </w:r>
            <w:proofErr w:type="spellEnd"/>
            <w:r w:rsidRPr="00E81366">
              <w:rPr>
                <w:rFonts w:ascii="Verdana" w:hAnsi="Verdana" w:cs="Times New Roman"/>
                <w:color w:val="auto"/>
                <w:sz w:val="20"/>
                <w:szCs w:val="20"/>
              </w:rPr>
              <w:t>. δ/</w:t>
            </w:r>
            <w:proofErr w:type="spellStart"/>
            <w:r w:rsidRPr="00E81366">
              <w:rPr>
                <w:rFonts w:ascii="Verdana" w:hAnsi="Verdana" w:cs="Times New Roman"/>
                <w:color w:val="auto"/>
                <w:sz w:val="20"/>
                <w:szCs w:val="20"/>
              </w:rPr>
              <w:t>νση</w:t>
            </w:r>
            <w:proofErr w:type="spellEnd"/>
            <w:r w:rsidRPr="00E81366">
              <w:rPr>
                <w:rFonts w:ascii="Verdana" w:hAnsi="Verdana" w:cs="Times New Roman"/>
                <w:color w:val="auto"/>
                <w:sz w:val="20"/>
                <w:szCs w:val="20"/>
              </w:rPr>
              <w:t xml:space="preserve">:  </w:t>
            </w:r>
            <w:hyperlink r:id="rId26" w:history="1">
              <w:r w:rsidRPr="00E81366">
                <w:rPr>
                  <w:rStyle w:val="-"/>
                  <w:rFonts w:ascii="Verdana" w:eastAsiaTheme="majorEastAsia" w:hAnsi="Verdana" w:cs="Times New Roman"/>
                  <w:sz w:val="20"/>
                  <w:szCs w:val="20"/>
                  <w:lang w:val="fr-FR"/>
                </w:rPr>
                <w:t>info</w:t>
              </w:r>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fr-FR"/>
                </w:rPr>
                <w:t>socar</w:t>
              </w:r>
              <w:proofErr w:type="spellEnd"/>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fr-FR"/>
                </w:rPr>
                <w:t>az</w:t>
              </w:r>
              <w:proofErr w:type="spellEnd"/>
            </w:hyperlink>
          </w:p>
          <w:p w:rsidR="00E81366" w:rsidRPr="00E81366" w:rsidRDefault="00E81366" w:rsidP="00E81366">
            <w:pPr>
              <w:pStyle w:val="Default"/>
              <w:rPr>
                <w:rFonts w:ascii="Verdana" w:hAnsi="Verdana" w:cs="Times New Roman"/>
                <w:sz w:val="20"/>
                <w:szCs w:val="20"/>
              </w:rPr>
            </w:pPr>
            <w:r w:rsidRPr="00E81366">
              <w:rPr>
                <w:rFonts w:ascii="Verdana" w:hAnsi="Verdana" w:cs="Times New Roman"/>
                <w:sz w:val="20"/>
                <w:szCs w:val="20"/>
                <w:lang w:val="en-US"/>
              </w:rPr>
              <w:t>Web</w:t>
            </w:r>
            <w:r w:rsidRPr="00E81366">
              <w:rPr>
                <w:rFonts w:ascii="Verdana" w:hAnsi="Verdana" w:cs="Times New Roman"/>
                <w:sz w:val="20"/>
                <w:szCs w:val="20"/>
              </w:rPr>
              <w:t xml:space="preserve">: </w:t>
            </w:r>
            <w:hyperlink r:id="rId27" w:history="1">
              <w:r w:rsidRPr="00E81366">
                <w:rPr>
                  <w:rStyle w:val="-"/>
                  <w:rFonts w:ascii="Verdana" w:eastAsiaTheme="majorEastAsia" w:hAnsi="Verdana" w:cs="Times New Roman"/>
                  <w:sz w:val="20"/>
                  <w:szCs w:val="20"/>
                  <w:lang w:val="en-US"/>
                </w:rPr>
                <w:t>www</w:t>
              </w:r>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en-US"/>
                </w:rPr>
                <w:t>socar</w:t>
              </w:r>
              <w:proofErr w:type="spellEnd"/>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en-US"/>
                </w:rPr>
                <w:t>az</w:t>
              </w:r>
              <w:proofErr w:type="spellEnd"/>
            </w:hyperlink>
            <w:r w:rsidRPr="00E81366">
              <w:rPr>
                <w:rFonts w:ascii="Verdana" w:hAnsi="Verdana" w:cs="Times New Roman"/>
                <w:sz w:val="20"/>
                <w:szCs w:val="20"/>
              </w:rPr>
              <w:t xml:space="preserve">   </w:t>
            </w:r>
          </w:p>
          <w:p w:rsidR="00E81366" w:rsidRPr="00E81366" w:rsidRDefault="00E81366" w:rsidP="00A61430">
            <w:pPr>
              <w:jc w:val="both"/>
              <w:rPr>
                <w:rFonts w:ascii="Verdana" w:hAnsi="Verdana"/>
                <w:sz w:val="20"/>
                <w:szCs w:val="20"/>
              </w:rPr>
            </w:pPr>
          </w:p>
        </w:tc>
        <w:tc>
          <w:tcPr>
            <w:tcW w:w="4621" w:type="dxa"/>
          </w:tcPr>
          <w:p w:rsidR="00E81366" w:rsidRPr="00E81366" w:rsidRDefault="00E81366" w:rsidP="00E81366">
            <w:pPr>
              <w:pStyle w:val="Default"/>
              <w:rPr>
                <w:rFonts w:ascii="Verdana" w:hAnsi="Verdana" w:cs="Times New Roman"/>
                <w:b/>
                <w:bCs/>
                <w:sz w:val="20"/>
                <w:szCs w:val="20"/>
              </w:rPr>
            </w:pPr>
            <w:r w:rsidRPr="00E81366">
              <w:rPr>
                <w:rFonts w:ascii="Verdana" w:hAnsi="Verdana" w:cs="Times New Roman"/>
                <w:b/>
                <w:bCs/>
                <w:sz w:val="20"/>
                <w:szCs w:val="20"/>
              </w:rPr>
              <w:t>ΟΡΓΑΝΙΣΜΟΣ ΠΡΟΩΘΗΣΗΣ ΕΞΑΓΩΓΩΝ &amp; ΕΠΕΝΔΥΣΕΩΝ (</w:t>
            </w:r>
            <w:r w:rsidRPr="00E81366">
              <w:rPr>
                <w:rFonts w:ascii="Verdana" w:hAnsi="Verdana" w:cs="Times New Roman"/>
                <w:b/>
                <w:bCs/>
                <w:i/>
                <w:iCs/>
                <w:sz w:val="20"/>
                <w:szCs w:val="20"/>
                <w:lang w:val="en-US"/>
              </w:rPr>
              <w:t>AZPROMO</w:t>
            </w:r>
            <w:r w:rsidRPr="00E81366">
              <w:rPr>
                <w:rFonts w:ascii="Verdana" w:hAnsi="Verdana" w:cs="Times New Roman"/>
                <w:b/>
                <w:bCs/>
                <w:sz w:val="20"/>
                <w:szCs w:val="20"/>
              </w:rPr>
              <w:t>)</w:t>
            </w:r>
          </w:p>
          <w:p w:rsidR="00E81366" w:rsidRPr="00E81366" w:rsidRDefault="00E81366" w:rsidP="00E81366">
            <w:pPr>
              <w:pStyle w:val="Default"/>
              <w:rPr>
                <w:rFonts w:ascii="Verdana" w:hAnsi="Verdana" w:cs="Times New Roman"/>
                <w:color w:val="auto"/>
                <w:sz w:val="20"/>
                <w:szCs w:val="20"/>
                <w:lang w:val="en-US"/>
              </w:rPr>
            </w:pPr>
            <w:r w:rsidRPr="00E81366">
              <w:rPr>
                <w:rFonts w:ascii="Verdana" w:hAnsi="Verdana" w:cs="Times New Roman"/>
                <w:color w:val="auto"/>
                <w:sz w:val="20"/>
                <w:szCs w:val="20"/>
              </w:rPr>
              <w:t>Δ</w:t>
            </w:r>
            <w:r w:rsidRPr="00E81366">
              <w:rPr>
                <w:rFonts w:ascii="Verdana" w:hAnsi="Verdana" w:cs="Times New Roman"/>
                <w:color w:val="auto"/>
                <w:sz w:val="20"/>
                <w:szCs w:val="20"/>
                <w:lang w:val="en-US"/>
              </w:rPr>
              <w:t>/</w:t>
            </w:r>
            <w:proofErr w:type="spellStart"/>
            <w:r w:rsidRPr="00E81366">
              <w:rPr>
                <w:rFonts w:ascii="Verdana" w:hAnsi="Verdana" w:cs="Times New Roman"/>
                <w:color w:val="auto"/>
                <w:sz w:val="20"/>
                <w:szCs w:val="20"/>
              </w:rPr>
              <w:t>νση</w:t>
            </w:r>
            <w:proofErr w:type="spellEnd"/>
            <w:r w:rsidRPr="00E81366">
              <w:rPr>
                <w:rFonts w:ascii="Verdana" w:hAnsi="Verdana" w:cs="Times New Roman"/>
                <w:color w:val="auto"/>
                <w:sz w:val="20"/>
                <w:szCs w:val="20"/>
                <w:lang w:val="en-US"/>
              </w:rPr>
              <w:t xml:space="preserve">: 32, </w:t>
            </w:r>
            <w:proofErr w:type="spellStart"/>
            <w:r w:rsidRPr="00E81366">
              <w:rPr>
                <w:rFonts w:ascii="Verdana" w:hAnsi="Verdana" w:cs="Times New Roman"/>
                <w:color w:val="auto"/>
                <w:sz w:val="20"/>
                <w:szCs w:val="20"/>
                <w:lang w:val="en-US"/>
              </w:rPr>
              <w:t>Neftchilar</w:t>
            </w:r>
            <w:proofErr w:type="spellEnd"/>
            <w:r w:rsidRPr="00E81366">
              <w:rPr>
                <w:rFonts w:ascii="Verdana" w:hAnsi="Verdana" w:cs="Times New Roman"/>
                <w:color w:val="auto"/>
                <w:sz w:val="20"/>
                <w:szCs w:val="20"/>
                <w:lang w:val="en-US"/>
              </w:rPr>
              <w:t xml:space="preserve"> </w:t>
            </w:r>
            <w:proofErr w:type="spellStart"/>
            <w:r w:rsidRPr="00E81366">
              <w:rPr>
                <w:rFonts w:ascii="Verdana" w:hAnsi="Verdana" w:cs="Times New Roman"/>
                <w:color w:val="auto"/>
                <w:sz w:val="20"/>
                <w:szCs w:val="20"/>
                <w:lang w:val="en-US"/>
              </w:rPr>
              <w:t>ave.</w:t>
            </w:r>
            <w:proofErr w:type="spellEnd"/>
            <w:r w:rsidRPr="00E81366">
              <w:rPr>
                <w:rFonts w:ascii="Verdana" w:hAnsi="Verdana" w:cs="Times New Roman"/>
                <w:color w:val="auto"/>
                <w:sz w:val="20"/>
                <w:szCs w:val="20"/>
                <w:lang w:val="en-US"/>
              </w:rPr>
              <w:t xml:space="preserve">, </w:t>
            </w:r>
          </w:p>
          <w:p w:rsidR="00E81366" w:rsidRPr="00E81366" w:rsidRDefault="00E81366" w:rsidP="00E81366">
            <w:pPr>
              <w:pStyle w:val="Default"/>
              <w:rPr>
                <w:rFonts w:ascii="Verdana" w:hAnsi="Verdana" w:cs="Times New Roman"/>
                <w:color w:val="auto"/>
                <w:sz w:val="20"/>
                <w:szCs w:val="20"/>
                <w:lang w:val="en-US"/>
              </w:rPr>
            </w:pPr>
            <w:proofErr w:type="spellStart"/>
            <w:r w:rsidRPr="00E81366">
              <w:rPr>
                <w:rFonts w:ascii="Verdana" w:hAnsi="Verdana" w:cs="Times New Roman"/>
                <w:color w:val="auto"/>
                <w:sz w:val="20"/>
                <w:szCs w:val="20"/>
              </w:rPr>
              <w:t>Τηλ</w:t>
            </w:r>
            <w:proofErr w:type="spellEnd"/>
            <w:r w:rsidRPr="00E81366">
              <w:rPr>
                <w:rFonts w:ascii="Verdana" w:hAnsi="Verdana" w:cs="Times New Roman"/>
                <w:color w:val="auto"/>
                <w:sz w:val="20"/>
                <w:szCs w:val="20"/>
                <w:lang w:val="en-US"/>
              </w:rPr>
              <w:t>:  (0099412) 598 0147, 598 0148</w:t>
            </w:r>
          </w:p>
          <w:p w:rsidR="00E81366" w:rsidRPr="00E81366" w:rsidRDefault="00E81366" w:rsidP="00E81366">
            <w:pPr>
              <w:pStyle w:val="Default"/>
              <w:rPr>
                <w:rFonts w:ascii="Verdana" w:hAnsi="Verdana" w:cs="Times New Roman"/>
                <w:color w:val="auto"/>
                <w:sz w:val="20"/>
                <w:szCs w:val="20"/>
              </w:rPr>
            </w:pPr>
            <w:proofErr w:type="spellStart"/>
            <w:r w:rsidRPr="00E81366">
              <w:rPr>
                <w:rFonts w:ascii="Verdana" w:hAnsi="Verdana" w:cs="Times New Roman"/>
                <w:color w:val="auto"/>
                <w:sz w:val="20"/>
                <w:szCs w:val="20"/>
              </w:rPr>
              <w:t>Ηλ</w:t>
            </w:r>
            <w:proofErr w:type="spellEnd"/>
            <w:r w:rsidRPr="00E81366">
              <w:rPr>
                <w:rFonts w:ascii="Verdana" w:hAnsi="Verdana" w:cs="Times New Roman"/>
                <w:color w:val="auto"/>
                <w:sz w:val="20"/>
                <w:szCs w:val="20"/>
              </w:rPr>
              <w:t>. δ/</w:t>
            </w:r>
            <w:proofErr w:type="spellStart"/>
            <w:r w:rsidRPr="00E81366">
              <w:rPr>
                <w:rFonts w:ascii="Verdana" w:hAnsi="Verdana" w:cs="Times New Roman"/>
                <w:color w:val="auto"/>
                <w:sz w:val="20"/>
                <w:szCs w:val="20"/>
              </w:rPr>
              <w:t>νση</w:t>
            </w:r>
            <w:proofErr w:type="spellEnd"/>
            <w:r w:rsidRPr="00E81366">
              <w:rPr>
                <w:rFonts w:ascii="Verdana" w:hAnsi="Verdana" w:cs="Times New Roman"/>
                <w:color w:val="auto"/>
                <w:sz w:val="20"/>
                <w:szCs w:val="20"/>
              </w:rPr>
              <w:t xml:space="preserve">:  </w:t>
            </w:r>
            <w:hyperlink r:id="rId28" w:history="1">
              <w:r w:rsidRPr="00E81366">
                <w:rPr>
                  <w:rStyle w:val="-"/>
                  <w:rFonts w:ascii="Verdana" w:eastAsiaTheme="majorEastAsia" w:hAnsi="Verdana" w:cs="Times New Roman"/>
                  <w:sz w:val="20"/>
                  <w:szCs w:val="20"/>
                  <w:lang w:val="en-US"/>
                </w:rPr>
                <w:t>office</w:t>
              </w:r>
              <w:r w:rsidRPr="00E81366">
                <w:rPr>
                  <w:rStyle w:val="-"/>
                  <w:rFonts w:ascii="Verdana" w:eastAsiaTheme="majorEastAsia" w:hAnsi="Verdana" w:cs="Times New Roman"/>
                  <w:sz w:val="20"/>
                  <w:szCs w:val="20"/>
                </w:rPr>
                <w:t>@</w:t>
              </w:r>
              <w:proofErr w:type="spellStart"/>
              <w:r w:rsidRPr="00E81366">
                <w:rPr>
                  <w:rStyle w:val="-"/>
                  <w:rFonts w:ascii="Verdana" w:eastAsiaTheme="majorEastAsia" w:hAnsi="Verdana" w:cs="Times New Roman"/>
                  <w:sz w:val="20"/>
                  <w:szCs w:val="20"/>
                  <w:lang w:val="en-US"/>
                </w:rPr>
                <w:t>azpromo</w:t>
              </w:r>
              <w:proofErr w:type="spellEnd"/>
              <w:r w:rsidRPr="00E81366">
                <w:rPr>
                  <w:rStyle w:val="-"/>
                  <w:rFonts w:ascii="Verdana" w:eastAsiaTheme="majorEastAsia" w:hAnsi="Verdana" w:cs="Times New Roman"/>
                  <w:sz w:val="20"/>
                  <w:szCs w:val="20"/>
                </w:rPr>
                <w:t>.</w:t>
              </w:r>
              <w:r w:rsidRPr="00E81366">
                <w:rPr>
                  <w:rStyle w:val="-"/>
                  <w:rFonts w:ascii="Verdana" w:eastAsiaTheme="majorEastAsia" w:hAnsi="Verdana" w:cs="Times New Roman"/>
                  <w:sz w:val="20"/>
                  <w:szCs w:val="20"/>
                  <w:lang w:val="en-US"/>
                </w:rPr>
                <w:t>a</w:t>
              </w:r>
              <w:r w:rsidRPr="00E81366">
                <w:rPr>
                  <w:rStyle w:val="-"/>
                  <w:rFonts w:ascii="Verdana" w:eastAsiaTheme="majorEastAsia" w:hAnsi="Verdana" w:cs="Times New Roman"/>
                  <w:sz w:val="20"/>
                  <w:szCs w:val="20"/>
                </w:rPr>
                <w:t>z</w:t>
              </w:r>
            </w:hyperlink>
            <w:r w:rsidRPr="00E81366">
              <w:rPr>
                <w:rFonts w:ascii="Verdana" w:hAnsi="Verdana" w:cs="Times New Roman"/>
                <w:color w:val="auto"/>
                <w:sz w:val="20"/>
                <w:szCs w:val="20"/>
              </w:rPr>
              <w:t xml:space="preserve">   </w:t>
            </w:r>
          </w:p>
          <w:p w:rsidR="00E81366" w:rsidRPr="00E81366" w:rsidRDefault="00E81366" w:rsidP="00E81366">
            <w:pPr>
              <w:pStyle w:val="Default"/>
              <w:rPr>
                <w:rFonts w:ascii="Verdana" w:hAnsi="Verdana"/>
                <w:sz w:val="20"/>
                <w:szCs w:val="20"/>
              </w:rPr>
            </w:pPr>
            <w:r w:rsidRPr="00E81366">
              <w:rPr>
                <w:rFonts w:ascii="Verdana" w:hAnsi="Verdana" w:cs="Times New Roman"/>
                <w:color w:val="auto"/>
                <w:sz w:val="20"/>
                <w:szCs w:val="20"/>
                <w:lang w:val="en-US"/>
              </w:rPr>
              <w:t xml:space="preserve">Web: </w:t>
            </w:r>
            <w:hyperlink r:id="rId29" w:history="1">
              <w:r w:rsidRPr="00E81366">
                <w:rPr>
                  <w:rStyle w:val="-"/>
                  <w:rFonts w:ascii="Verdana" w:eastAsiaTheme="majorEastAsia" w:hAnsi="Verdana" w:cs="Times New Roman"/>
                  <w:sz w:val="20"/>
                  <w:szCs w:val="20"/>
                  <w:lang w:val="en-US"/>
                </w:rPr>
                <w:t>www.azpromo.az</w:t>
              </w:r>
            </w:hyperlink>
          </w:p>
        </w:tc>
      </w:tr>
      <w:tr w:rsidR="00E81366" w:rsidRPr="00E81366" w:rsidTr="00E81366">
        <w:tc>
          <w:tcPr>
            <w:tcW w:w="4621" w:type="dxa"/>
          </w:tcPr>
          <w:p w:rsidR="00E81366" w:rsidRPr="00E81366" w:rsidRDefault="00E81366" w:rsidP="00E81366">
            <w:pPr>
              <w:rPr>
                <w:rFonts w:ascii="Verdana" w:hAnsi="Verdana"/>
                <w:b/>
                <w:bCs/>
                <w:sz w:val="20"/>
                <w:szCs w:val="20"/>
              </w:rPr>
            </w:pPr>
            <w:r w:rsidRPr="00E81366">
              <w:rPr>
                <w:rFonts w:ascii="Verdana" w:hAnsi="Verdana"/>
                <w:b/>
                <w:bCs/>
                <w:sz w:val="20"/>
                <w:szCs w:val="20"/>
              </w:rPr>
              <w:t>ΕΘΝΙΚΗ ΣΥΝΟΜΟΣΠΟΝΔΙΑ ΕΠΙΧΕΙΡΗΜΑΤΙΩΝ (</w:t>
            </w:r>
            <w:r w:rsidRPr="00E81366">
              <w:rPr>
                <w:rFonts w:ascii="Verdana" w:hAnsi="Verdana"/>
                <w:b/>
                <w:bCs/>
                <w:sz w:val="20"/>
                <w:szCs w:val="20"/>
                <w:lang w:val="en-US"/>
              </w:rPr>
              <w:t>ASK</w:t>
            </w:r>
            <w:r w:rsidRPr="00E81366">
              <w:rPr>
                <w:rFonts w:ascii="Verdana" w:hAnsi="Verdana"/>
                <w:b/>
                <w:bCs/>
                <w:sz w:val="20"/>
                <w:szCs w:val="20"/>
              </w:rPr>
              <w:t>)</w:t>
            </w:r>
          </w:p>
          <w:p w:rsidR="00E81366" w:rsidRPr="00E81366" w:rsidRDefault="00E81366" w:rsidP="00E81366">
            <w:pPr>
              <w:rPr>
                <w:rFonts w:ascii="Verdana" w:hAnsi="Verdana"/>
                <w:sz w:val="20"/>
                <w:szCs w:val="20"/>
                <w:lang w:val="en-US"/>
              </w:rPr>
            </w:pPr>
            <w:r w:rsidRPr="00E81366">
              <w:rPr>
                <w:rFonts w:ascii="Verdana" w:hAnsi="Verdana"/>
                <w:sz w:val="20"/>
                <w:szCs w:val="20"/>
              </w:rPr>
              <w:t>Δ/</w:t>
            </w:r>
            <w:proofErr w:type="spellStart"/>
            <w:r w:rsidRPr="00E81366">
              <w:rPr>
                <w:rFonts w:ascii="Verdana" w:hAnsi="Verdana"/>
                <w:sz w:val="20"/>
                <w:szCs w:val="20"/>
              </w:rPr>
              <w:t>νση</w:t>
            </w:r>
            <w:proofErr w:type="spellEnd"/>
            <w:r w:rsidRPr="00E81366">
              <w:rPr>
                <w:rFonts w:ascii="Verdana" w:hAnsi="Verdana"/>
                <w:sz w:val="20"/>
                <w:szCs w:val="20"/>
              </w:rPr>
              <w:t xml:space="preserve">: 57, </w:t>
            </w:r>
            <w:r w:rsidRPr="00E81366">
              <w:rPr>
                <w:rFonts w:ascii="Verdana" w:hAnsi="Verdana"/>
                <w:sz w:val="20"/>
                <w:szCs w:val="20"/>
                <w:lang w:val="en-US"/>
              </w:rPr>
              <w:t>Ac</w:t>
            </w:r>
            <w:r w:rsidRPr="00E81366">
              <w:rPr>
                <w:rFonts w:ascii="Verdana" w:hAnsi="Verdana"/>
                <w:sz w:val="20"/>
                <w:szCs w:val="20"/>
              </w:rPr>
              <w:t xml:space="preserve">. </w:t>
            </w:r>
            <w:r w:rsidRPr="00E81366">
              <w:rPr>
                <w:rFonts w:ascii="Verdana" w:hAnsi="Verdana"/>
                <w:sz w:val="20"/>
                <w:szCs w:val="20"/>
                <w:lang w:val="en-US"/>
              </w:rPr>
              <w:t>Hasan Aliyev str., AZ 1110</w:t>
            </w:r>
          </w:p>
          <w:p w:rsidR="00E81366" w:rsidRPr="00E81366" w:rsidRDefault="00E81366" w:rsidP="00E81366">
            <w:pPr>
              <w:rPr>
                <w:rFonts w:ascii="Verdana" w:hAnsi="Verdana"/>
                <w:sz w:val="20"/>
                <w:szCs w:val="20"/>
                <w:lang w:val="fr-FR"/>
              </w:rPr>
            </w:pPr>
            <w:proofErr w:type="spellStart"/>
            <w:r w:rsidRPr="00E81366">
              <w:rPr>
                <w:rFonts w:ascii="Verdana" w:hAnsi="Verdana"/>
                <w:sz w:val="20"/>
                <w:szCs w:val="20"/>
              </w:rPr>
              <w:t>Τηλ</w:t>
            </w:r>
            <w:proofErr w:type="spellEnd"/>
            <w:r w:rsidRPr="00E81366">
              <w:rPr>
                <w:rFonts w:ascii="Verdana" w:hAnsi="Verdana"/>
                <w:sz w:val="20"/>
                <w:szCs w:val="20"/>
                <w:lang w:val="fr-FR"/>
              </w:rPr>
              <w:t xml:space="preserve">: (0099412) 465 72 42 / 465 72 43 </w:t>
            </w:r>
          </w:p>
          <w:p w:rsidR="00E81366" w:rsidRPr="00652FAE" w:rsidRDefault="00E81366" w:rsidP="00E81366">
            <w:pPr>
              <w:rPr>
                <w:rFonts w:ascii="Verdana" w:hAnsi="Verdana"/>
                <w:sz w:val="20"/>
                <w:szCs w:val="20"/>
                <w:lang w:val="de-DE"/>
              </w:rPr>
            </w:pPr>
            <w:r w:rsidRPr="00E81366">
              <w:rPr>
                <w:rFonts w:ascii="Verdana" w:hAnsi="Verdana"/>
                <w:sz w:val="20"/>
                <w:szCs w:val="20"/>
                <w:lang w:val="fr-FR"/>
              </w:rPr>
              <w:t xml:space="preserve">E-mail: </w:t>
            </w:r>
            <w:r w:rsidR="00565F9C">
              <w:fldChar w:fldCharType="begin"/>
            </w:r>
            <w:r w:rsidR="00565F9C" w:rsidRPr="00652FAE">
              <w:rPr>
                <w:lang w:val="de-DE"/>
              </w:rPr>
              <w:instrText xml:space="preserve"> HYPERLINK "mailto:office@ask.org.az" </w:instrText>
            </w:r>
            <w:r w:rsidR="00565F9C">
              <w:fldChar w:fldCharType="separate"/>
            </w:r>
            <w:r w:rsidRPr="00E81366">
              <w:rPr>
                <w:rStyle w:val="-"/>
                <w:rFonts w:ascii="Verdana" w:hAnsi="Verdana"/>
                <w:sz w:val="20"/>
                <w:szCs w:val="20"/>
                <w:lang w:val="fr-FR"/>
              </w:rPr>
              <w:t>office@ask.org.az</w:t>
            </w:r>
            <w:r w:rsidR="00565F9C">
              <w:rPr>
                <w:rStyle w:val="-"/>
                <w:rFonts w:ascii="Verdana" w:hAnsi="Verdana"/>
                <w:sz w:val="20"/>
                <w:szCs w:val="20"/>
                <w:lang w:val="fr-FR"/>
              </w:rPr>
              <w:fldChar w:fldCharType="end"/>
            </w:r>
            <w:r w:rsidRPr="00E81366">
              <w:rPr>
                <w:rFonts w:ascii="Verdana" w:hAnsi="Verdana"/>
                <w:sz w:val="20"/>
                <w:szCs w:val="20"/>
                <w:lang w:val="fr-FR"/>
              </w:rPr>
              <w:t xml:space="preserve"> , </w:t>
            </w:r>
          </w:p>
          <w:p w:rsidR="00E81366" w:rsidRPr="000048A3" w:rsidRDefault="00E81366" w:rsidP="00E81366">
            <w:pPr>
              <w:rPr>
                <w:rFonts w:ascii="Verdana" w:hAnsi="Verdana" w:cs="Times New Roman"/>
                <w:b/>
                <w:bCs/>
                <w:sz w:val="20"/>
                <w:szCs w:val="20"/>
                <w:lang w:val="en-US"/>
              </w:rPr>
            </w:pPr>
            <w:r w:rsidRPr="00E81366">
              <w:rPr>
                <w:rFonts w:ascii="Verdana" w:hAnsi="Verdana"/>
                <w:sz w:val="20"/>
                <w:szCs w:val="20"/>
                <w:lang w:val="fr-FR"/>
              </w:rPr>
              <w:t xml:space="preserve">Web: </w:t>
            </w:r>
            <w:hyperlink r:id="rId30" w:history="1">
              <w:r w:rsidRPr="00E81366">
                <w:rPr>
                  <w:rStyle w:val="-"/>
                  <w:rFonts w:ascii="Verdana" w:hAnsi="Verdana"/>
                  <w:sz w:val="20"/>
                  <w:szCs w:val="20"/>
                  <w:lang w:val="fr-FR"/>
                </w:rPr>
                <w:t>www.ask.org.az</w:t>
              </w:r>
            </w:hyperlink>
          </w:p>
        </w:tc>
        <w:tc>
          <w:tcPr>
            <w:tcW w:w="4621" w:type="dxa"/>
          </w:tcPr>
          <w:p w:rsidR="00E81366" w:rsidRPr="00E81366" w:rsidRDefault="00E81366" w:rsidP="00E81366">
            <w:pPr>
              <w:rPr>
                <w:rFonts w:ascii="Verdana" w:hAnsi="Verdana"/>
                <w:b/>
                <w:bCs/>
                <w:sz w:val="20"/>
                <w:szCs w:val="20"/>
              </w:rPr>
            </w:pPr>
            <w:r w:rsidRPr="00E81366">
              <w:rPr>
                <w:rFonts w:ascii="Verdana" w:hAnsi="Verdana"/>
                <w:b/>
                <w:bCs/>
                <w:sz w:val="20"/>
                <w:szCs w:val="20"/>
              </w:rPr>
              <w:t>ΕΜΠΟΡΙΚΟ &amp; ΒΙΟΜΗΧΑΝΙΚΟ ΕΠΙΜΕΛΗΤΉΡΙΟ</w:t>
            </w:r>
          </w:p>
          <w:p w:rsidR="00E81366" w:rsidRPr="00E81366" w:rsidRDefault="00E81366" w:rsidP="00E81366">
            <w:pPr>
              <w:rPr>
                <w:rFonts w:ascii="Verdana" w:hAnsi="Verdana"/>
                <w:sz w:val="20"/>
                <w:szCs w:val="20"/>
              </w:rPr>
            </w:pPr>
            <w:r w:rsidRPr="00E81366">
              <w:rPr>
                <w:rFonts w:ascii="Verdana" w:hAnsi="Verdana"/>
                <w:sz w:val="20"/>
                <w:szCs w:val="20"/>
              </w:rPr>
              <w:t>Δ/</w:t>
            </w:r>
            <w:proofErr w:type="spellStart"/>
            <w:r w:rsidRPr="00E81366">
              <w:rPr>
                <w:rFonts w:ascii="Verdana" w:hAnsi="Verdana"/>
                <w:sz w:val="20"/>
                <w:szCs w:val="20"/>
              </w:rPr>
              <w:t>νση</w:t>
            </w:r>
            <w:proofErr w:type="spellEnd"/>
            <w:r w:rsidRPr="00E81366">
              <w:rPr>
                <w:rFonts w:ascii="Verdana" w:hAnsi="Verdana"/>
                <w:sz w:val="20"/>
                <w:szCs w:val="20"/>
              </w:rPr>
              <w:t xml:space="preserve">:, 31, </w:t>
            </w:r>
            <w:proofErr w:type="spellStart"/>
            <w:r w:rsidRPr="00E81366">
              <w:rPr>
                <w:rFonts w:ascii="Verdana" w:hAnsi="Verdana"/>
                <w:sz w:val="20"/>
                <w:szCs w:val="20"/>
                <w:lang w:val="en-US"/>
              </w:rPr>
              <w:t>Istiglaliyyat</w:t>
            </w:r>
            <w:proofErr w:type="spellEnd"/>
            <w:r w:rsidRPr="00E81366">
              <w:rPr>
                <w:rFonts w:ascii="Verdana" w:hAnsi="Verdana"/>
                <w:sz w:val="20"/>
                <w:szCs w:val="20"/>
              </w:rPr>
              <w:t xml:space="preserve"> </w:t>
            </w:r>
            <w:r w:rsidRPr="00E81366">
              <w:rPr>
                <w:rFonts w:ascii="Verdana" w:hAnsi="Verdana"/>
                <w:sz w:val="20"/>
                <w:szCs w:val="20"/>
                <w:lang w:val="en-US"/>
              </w:rPr>
              <w:t>str</w:t>
            </w:r>
            <w:r w:rsidRPr="00E81366">
              <w:rPr>
                <w:rFonts w:ascii="Verdana" w:hAnsi="Verdana"/>
                <w:sz w:val="20"/>
                <w:szCs w:val="20"/>
              </w:rPr>
              <w:t xml:space="preserve">. </w:t>
            </w:r>
            <w:r w:rsidRPr="00E81366">
              <w:rPr>
                <w:rFonts w:ascii="Verdana" w:hAnsi="Verdana"/>
                <w:sz w:val="20"/>
                <w:szCs w:val="20"/>
                <w:lang w:val="en-US"/>
              </w:rPr>
              <w:t>AZ</w:t>
            </w:r>
            <w:r w:rsidRPr="00E81366">
              <w:rPr>
                <w:rFonts w:ascii="Verdana" w:hAnsi="Verdana"/>
                <w:sz w:val="20"/>
                <w:szCs w:val="20"/>
              </w:rPr>
              <w:t xml:space="preserve"> 1001</w:t>
            </w:r>
          </w:p>
          <w:p w:rsidR="00E81366" w:rsidRPr="00E81366" w:rsidRDefault="00E81366" w:rsidP="00E81366">
            <w:pPr>
              <w:rPr>
                <w:rFonts w:ascii="Verdana" w:hAnsi="Verdana"/>
                <w:sz w:val="20"/>
                <w:szCs w:val="20"/>
              </w:rPr>
            </w:pPr>
            <w:proofErr w:type="spellStart"/>
            <w:r w:rsidRPr="00E81366">
              <w:rPr>
                <w:rFonts w:ascii="Verdana" w:hAnsi="Verdana"/>
                <w:sz w:val="20"/>
                <w:szCs w:val="20"/>
              </w:rPr>
              <w:t>Τηλ</w:t>
            </w:r>
            <w:proofErr w:type="spellEnd"/>
            <w:r w:rsidRPr="00E81366">
              <w:rPr>
                <w:rFonts w:ascii="Verdana" w:hAnsi="Verdana"/>
                <w:sz w:val="20"/>
                <w:szCs w:val="20"/>
              </w:rPr>
              <w:t>:  (0099 412) 492 8912</w:t>
            </w:r>
          </w:p>
          <w:p w:rsidR="00E81366" w:rsidRPr="00E81366" w:rsidRDefault="00E81366" w:rsidP="00E81366">
            <w:pPr>
              <w:rPr>
                <w:rFonts w:ascii="Verdana" w:hAnsi="Verdana"/>
                <w:sz w:val="20"/>
                <w:szCs w:val="20"/>
              </w:rPr>
            </w:pPr>
            <w:proofErr w:type="spellStart"/>
            <w:r w:rsidRPr="00E81366">
              <w:rPr>
                <w:rFonts w:ascii="Verdana" w:hAnsi="Verdana"/>
                <w:sz w:val="20"/>
                <w:szCs w:val="20"/>
              </w:rPr>
              <w:t>Ηλ</w:t>
            </w:r>
            <w:proofErr w:type="spellEnd"/>
            <w:r w:rsidRPr="00E81366">
              <w:rPr>
                <w:rFonts w:ascii="Verdana" w:hAnsi="Verdana"/>
                <w:sz w:val="20"/>
                <w:szCs w:val="20"/>
              </w:rPr>
              <w:t>. δ/</w:t>
            </w:r>
            <w:proofErr w:type="spellStart"/>
            <w:r w:rsidRPr="00E81366">
              <w:rPr>
                <w:rFonts w:ascii="Verdana" w:hAnsi="Verdana"/>
                <w:sz w:val="20"/>
                <w:szCs w:val="20"/>
              </w:rPr>
              <w:t>νση</w:t>
            </w:r>
            <w:proofErr w:type="spellEnd"/>
            <w:r w:rsidRPr="00E81366">
              <w:rPr>
                <w:rFonts w:ascii="Verdana" w:hAnsi="Verdana"/>
                <w:sz w:val="20"/>
                <w:szCs w:val="20"/>
              </w:rPr>
              <w:t xml:space="preserve">:  </w:t>
            </w:r>
            <w:hyperlink r:id="rId31" w:history="1">
              <w:r w:rsidRPr="00E81366">
                <w:rPr>
                  <w:rStyle w:val="-"/>
                  <w:rFonts w:ascii="Verdana" w:hAnsi="Verdana"/>
                  <w:sz w:val="20"/>
                  <w:szCs w:val="20"/>
                  <w:lang w:val="en-US"/>
                </w:rPr>
                <w:t>expo</w:t>
              </w:r>
              <w:r w:rsidRPr="00E81366">
                <w:rPr>
                  <w:rStyle w:val="-"/>
                  <w:rFonts w:ascii="Verdana" w:hAnsi="Verdana"/>
                  <w:sz w:val="20"/>
                  <w:szCs w:val="20"/>
                </w:rPr>
                <w:t>@</w:t>
              </w:r>
              <w:r w:rsidRPr="00E81366">
                <w:rPr>
                  <w:rStyle w:val="-"/>
                  <w:rFonts w:ascii="Verdana" w:hAnsi="Verdana"/>
                  <w:sz w:val="20"/>
                  <w:szCs w:val="20"/>
                  <w:lang w:val="en-US"/>
                </w:rPr>
                <w:t>chamber</w:t>
              </w:r>
              <w:r w:rsidRPr="00E81366">
                <w:rPr>
                  <w:rStyle w:val="-"/>
                  <w:rFonts w:ascii="Verdana" w:hAnsi="Verdana"/>
                  <w:sz w:val="20"/>
                  <w:szCs w:val="20"/>
                </w:rPr>
                <w:t>.</w:t>
              </w:r>
              <w:proofErr w:type="spellStart"/>
              <w:r w:rsidRPr="00E81366">
                <w:rPr>
                  <w:rStyle w:val="-"/>
                  <w:rFonts w:ascii="Verdana" w:hAnsi="Verdana"/>
                  <w:sz w:val="20"/>
                  <w:szCs w:val="20"/>
                  <w:lang w:val="en-US"/>
                </w:rPr>
                <w:t>az</w:t>
              </w:r>
              <w:proofErr w:type="spellEnd"/>
            </w:hyperlink>
          </w:p>
          <w:p w:rsidR="00E81366" w:rsidRPr="00E81366" w:rsidRDefault="00E81366" w:rsidP="00E81366">
            <w:pPr>
              <w:rPr>
                <w:rFonts w:ascii="Verdana" w:hAnsi="Verdana" w:cs="Times New Roman"/>
                <w:b/>
                <w:bCs/>
                <w:sz w:val="20"/>
                <w:szCs w:val="20"/>
              </w:rPr>
            </w:pPr>
            <w:r w:rsidRPr="00E81366">
              <w:rPr>
                <w:rFonts w:ascii="Verdana" w:hAnsi="Verdana"/>
                <w:sz w:val="20"/>
                <w:szCs w:val="20"/>
                <w:lang w:val="en-US"/>
              </w:rPr>
              <w:t>Web</w:t>
            </w:r>
            <w:r w:rsidRPr="00E81366">
              <w:rPr>
                <w:rFonts w:ascii="Verdana" w:hAnsi="Verdana"/>
                <w:sz w:val="20"/>
                <w:szCs w:val="20"/>
              </w:rPr>
              <w:t xml:space="preserve">: </w:t>
            </w:r>
            <w:hyperlink r:id="rId32" w:history="1">
              <w:r w:rsidRPr="00E81366">
                <w:rPr>
                  <w:rStyle w:val="-"/>
                  <w:rFonts w:ascii="Verdana" w:hAnsi="Verdana"/>
                  <w:sz w:val="20"/>
                  <w:szCs w:val="20"/>
                  <w:lang w:val="en-US"/>
                </w:rPr>
                <w:t>www</w:t>
              </w:r>
              <w:r w:rsidRPr="00E81366">
                <w:rPr>
                  <w:rStyle w:val="-"/>
                  <w:rFonts w:ascii="Verdana" w:hAnsi="Verdana"/>
                  <w:sz w:val="20"/>
                  <w:szCs w:val="20"/>
                </w:rPr>
                <w:t>.</w:t>
              </w:r>
              <w:r w:rsidRPr="00E81366">
                <w:rPr>
                  <w:rStyle w:val="-"/>
                  <w:rFonts w:ascii="Verdana" w:hAnsi="Verdana"/>
                  <w:sz w:val="20"/>
                  <w:szCs w:val="20"/>
                  <w:lang w:val="en-US"/>
                </w:rPr>
                <w:t>chamber</w:t>
              </w:r>
              <w:r w:rsidRPr="00E81366">
                <w:rPr>
                  <w:rStyle w:val="-"/>
                  <w:rFonts w:ascii="Verdana" w:hAnsi="Verdana"/>
                  <w:sz w:val="20"/>
                  <w:szCs w:val="20"/>
                </w:rPr>
                <w:t>.</w:t>
              </w:r>
              <w:proofErr w:type="spellStart"/>
              <w:r w:rsidRPr="00E81366">
                <w:rPr>
                  <w:rStyle w:val="-"/>
                  <w:rFonts w:ascii="Verdana" w:hAnsi="Verdana"/>
                  <w:sz w:val="20"/>
                  <w:szCs w:val="20"/>
                  <w:lang w:val="en-US"/>
                </w:rPr>
                <w:t>az</w:t>
              </w:r>
              <w:proofErr w:type="spellEnd"/>
            </w:hyperlink>
          </w:p>
        </w:tc>
      </w:tr>
      <w:tr w:rsidR="00E81366" w:rsidRPr="00E81366" w:rsidTr="00E81366">
        <w:tc>
          <w:tcPr>
            <w:tcW w:w="4621" w:type="dxa"/>
          </w:tcPr>
          <w:p w:rsidR="00E81366" w:rsidRPr="00E81366" w:rsidRDefault="00E81366" w:rsidP="00E81366">
            <w:pPr>
              <w:rPr>
                <w:rFonts w:ascii="Verdana" w:hAnsi="Verdana"/>
                <w:b/>
                <w:bCs/>
                <w:sz w:val="20"/>
                <w:szCs w:val="20"/>
              </w:rPr>
            </w:pPr>
            <w:r w:rsidRPr="00E81366">
              <w:rPr>
                <w:rFonts w:ascii="Verdana" w:hAnsi="Verdana"/>
                <w:b/>
                <w:bCs/>
                <w:sz w:val="20"/>
                <w:szCs w:val="20"/>
              </w:rPr>
              <w:t xml:space="preserve">ΕΘΝΙΚΟ ΚΕΝΤΡΟ ΑΝΤΑΓΩΝΙΣΤΙΚΟΤΗΤΑΣ ΚΑΙ ΠΑΡΑΓΩΓΙΚΟΤΗΤΑΣ </w:t>
            </w:r>
          </w:p>
          <w:p w:rsidR="00E81366" w:rsidRPr="000048A3" w:rsidRDefault="00E81366" w:rsidP="00E81366">
            <w:pPr>
              <w:rPr>
                <w:rFonts w:ascii="Verdana" w:hAnsi="Verdana"/>
                <w:sz w:val="20"/>
                <w:szCs w:val="20"/>
              </w:rPr>
            </w:pPr>
            <w:r w:rsidRPr="00E81366">
              <w:rPr>
                <w:rFonts w:ascii="Verdana" w:hAnsi="Verdana"/>
                <w:sz w:val="20"/>
                <w:szCs w:val="20"/>
              </w:rPr>
              <w:t>Δ</w:t>
            </w:r>
            <w:r w:rsidRPr="000048A3">
              <w:rPr>
                <w:rFonts w:ascii="Verdana" w:hAnsi="Verdana"/>
                <w:sz w:val="20"/>
                <w:szCs w:val="20"/>
              </w:rPr>
              <w:t>/</w:t>
            </w:r>
            <w:proofErr w:type="spellStart"/>
            <w:r w:rsidRPr="00E81366">
              <w:rPr>
                <w:rFonts w:ascii="Verdana" w:hAnsi="Verdana"/>
                <w:sz w:val="20"/>
                <w:szCs w:val="20"/>
              </w:rPr>
              <w:t>νση</w:t>
            </w:r>
            <w:proofErr w:type="spellEnd"/>
            <w:r w:rsidRPr="000048A3">
              <w:rPr>
                <w:rFonts w:ascii="Verdana" w:hAnsi="Verdana"/>
                <w:sz w:val="20"/>
                <w:szCs w:val="20"/>
              </w:rPr>
              <w:t xml:space="preserve">:, 85/189, </w:t>
            </w:r>
            <w:r w:rsidRPr="00E81366">
              <w:rPr>
                <w:rFonts w:ascii="Verdana" w:hAnsi="Verdana"/>
                <w:sz w:val="20"/>
                <w:szCs w:val="20"/>
                <w:lang w:val="en-US"/>
              </w:rPr>
              <w:t>C</w:t>
            </w:r>
            <w:r w:rsidRPr="000048A3">
              <w:rPr>
                <w:rFonts w:ascii="Verdana" w:hAnsi="Verdana"/>
                <w:sz w:val="20"/>
                <w:szCs w:val="20"/>
              </w:rPr>
              <w:t>.</w:t>
            </w:r>
            <w:proofErr w:type="spellStart"/>
            <w:r w:rsidRPr="00E81366">
              <w:rPr>
                <w:rFonts w:ascii="Verdana" w:hAnsi="Verdana"/>
                <w:sz w:val="20"/>
                <w:szCs w:val="20"/>
                <w:lang w:val="en-US"/>
              </w:rPr>
              <w:t>Mammadquluzadeh</w:t>
            </w:r>
            <w:proofErr w:type="spellEnd"/>
            <w:r w:rsidRPr="000048A3">
              <w:rPr>
                <w:rFonts w:ascii="Verdana" w:hAnsi="Verdana"/>
                <w:sz w:val="20"/>
                <w:szCs w:val="20"/>
              </w:rPr>
              <w:t xml:space="preserve"> </w:t>
            </w:r>
            <w:r w:rsidRPr="00E81366">
              <w:rPr>
                <w:rFonts w:ascii="Verdana" w:hAnsi="Verdana"/>
                <w:sz w:val="20"/>
                <w:szCs w:val="20"/>
                <w:lang w:val="en-US"/>
              </w:rPr>
              <w:t>str</w:t>
            </w:r>
            <w:r w:rsidRPr="000048A3">
              <w:rPr>
                <w:rFonts w:ascii="Verdana" w:hAnsi="Verdana"/>
                <w:sz w:val="20"/>
                <w:szCs w:val="20"/>
              </w:rPr>
              <w:t xml:space="preserve">., </w:t>
            </w:r>
            <w:proofErr w:type="spellStart"/>
            <w:r w:rsidRPr="00E81366">
              <w:rPr>
                <w:rFonts w:ascii="Verdana" w:hAnsi="Verdana"/>
                <w:sz w:val="20"/>
                <w:szCs w:val="20"/>
                <w:lang w:val="en-US"/>
              </w:rPr>
              <w:t>Falez</w:t>
            </w:r>
            <w:proofErr w:type="spellEnd"/>
            <w:r w:rsidRPr="000048A3">
              <w:rPr>
                <w:rFonts w:ascii="Verdana" w:hAnsi="Verdana"/>
                <w:sz w:val="20"/>
                <w:szCs w:val="20"/>
              </w:rPr>
              <w:t xml:space="preserve"> </w:t>
            </w:r>
            <w:r w:rsidRPr="00E81366">
              <w:rPr>
                <w:rFonts w:ascii="Verdana" w:hAnsi="Verdana"/>
                <w:sz w:val="20"/>
                <w:szCs w:val="20"/>
                <w:lang w:val="en-US"/>
              </w:rPr>
              <w:t>Plaza</w:t>
            </w:r>
            <w:r w:rsidRPr="000048A3">
              <w:rPr>
                <w:rFonts w:ascii="Verdana" w:hAnsi="Verdana"/>
                <w:sz w:val="20"/>
                <w:szCs w:val="20"/>
              </w:rPr>
              <w:t>, 5</w:t>
            </w:r>
            <w:proofErr w:type="spellStart"/>
            <w:r w:rsidRPr="00E81366">
              <w:rPr>
                <w:rFonts w:ascii="Verdana" w:hAnsi="Verdana"/>
                <w:sz w:val="20"/>
                <w:szCs w:val="20"/>
                <w:vertAlign w:val="superscript"/>
                <w:lang w:val="en-US"/>
              </w:rPr>
              <w:t>th</w:t>
            </w:r>
            <w:proofErr w:type="spellEnd"/>
            <w:r w:rsidRPr="000048A3">
              <w:rPr>
                <w:rFonts w:ascii="Verdana" w:hAnsi="Verdana"/>
                <w:sz w:val="20"/>
                <w:szCs w:val="20"/>
              </w:rPr>
              <w:t xml:space="preserve"> </w:t>
            </w:r>
            <w:r w:rsidRPr="00E81366">
              <w:rPr>
                <w:rFonts w:ascii="Verdana" w:hAnsi="Verdana"/>
                <w:sz w:val="20"/>
                <w:szCs w:val="20"/>
                <w:lang w:val="en-US"/>
              </w:rPr>
              <w:t>floor</w:t>
            </w:r>
            <w:r w:rsidRPr="000048A3">
              <w:rPr>
                <w:rFonts w:ascii="Verdana" w:hAnsi="Verdana"/>
                <w:sz w:val="20"/>
                <w:szCs w:val="20"/>
              </w:rPr>
              <w:t xml:space="preserve">, </w:t>
            </w:r>
            <w:r w:rsidRPr="00E81366">
              <w:rPr>
                <w:rFonts w:ascii="Verdana" w:hAnsi="Verdana"/>
                <w:sz w:val="20"/>
                <w:szCs w:val="20"/>
                <w:lang w:val="en-US"/>
              </w:rPr>
              <w:t>AZ</w:t>
            </w:r>
            <w:r w:rsidRPr="000048A3">
              <w:rPr>
                <w:rFonts w:ascii="Verdana" w:hAnsi="Verdana"/>
                <w:sz w:val="20"/>
                <w:szCs w:val="20"/>
              </w:rPr>
              <w:t xml:space="preserve"> 1078</w:t>
            </w:r>
          </w:p>
          <w:p w:rsidR="00E81366" w:rsidRPr="00E81366" w:rsidRDefault="00E81366" w:rsidP="00E81366">
            <w:pPr>
              <w:rPr>
                <w:rFonts w:ascii="Verdana" w:hAnsi="Verdana"/>
                <w:sz w:val="20"/>
                <w:szCs w:val="20"/>
              </w:rPr>
            </w:pPr>
            <w:proofErr w:type="spellStart"/>
            <w:r w:rsidRPr="00E81366">
              <w:rPr>
                <w:rFonts w:ascii="Verdana" w:hAnsi="Verdana"/>
                <w:sz w:val="20"/>
                <w:szCs w:val="20"/>
              </w:rPr>
              <w:t>Τηλ</w:t>
            </w:r>
            <w:proofErr w:type="spellEnd"/>
            <w:r w:rsidRPr="00E81366">
              <w:rPr>
                <w:rFonts w:ascii="Verdana" w:hAnsi="Verdana"/>
                <w:sz w:val="20"/>
                <w:szCs w:val="20"/>
              </w:rPr>
              <w:t xml:space="preserve">: </w:t>
            </w:r>
            <w:r>
              <w:rPr>
                <w:rFonts w:ascii="Verdana" w:hAnsi="Verdana"/>
                <w:sz w:val="20"/>
                <w:szCs w:val="20"/>
              </w:rPr>
              <w:t xml:space="preserve"> (0099 412) 596 7998, 597 0518</w:t>
            </w:r>
          </w:p>
          <w:p w:rsidR="00E81366" w:rsidRPr="00E81366" w:rsidRDefault="00E81366" w:rsidP="00E81366">
            <w:pPr>
              <w:rPr>
                <w:rFonts w:ascii="Verdana" w:hAnsi="Verdana"/>
                <w:sz w:val="20"/>
                <w:szCs w:val="20"/>
              </w:rPr>
            </w:pPr>
            <w:proofErr w:type="spellStart"/>
            <w:r w:rsidRPr="00E81366">
              <w:rPr>
                <w:rFonts w:ascii="Verdana" w:hAnsi="Verdana"/>
                <w:sz w:val="20"/>
                <w:szCs w:val="20"/>
              </w:rPr>
              <w:t>Ηλ</w:t>
            </w:r>
            <w:proofErr w:type="spellEnd"/>
            <w:r w:rsidRPr="00E81366">
              <w:rPr>
                <w:rFonts w:ascii="Verdana" w:hAnsi="Verdana"/>
                <w:sz w:val="20"/>
                <w:szCs w:val="20"/>
              </w:rPr>
              <w:t>. δ/</w:t>
            </w:r>
            <w:proofErr w:type="spellStart"/>
            <w:r w:rsidRPr="00E81366">
              <w:rPr>
                <w:rFonts w:ascii="Verdana" w:hAnsi="Verdana"/>
                <w:sz w:val="20"/>
                <w:szCs w:val="20"/>
              </w:rPr>
              <w:t>νση</w:t>
            </w:r>
            <w:proofErr w:type="spellEnd"/>
            <w:r w:rsidRPr="00E81366">
              <w:rPr>
                <w:rFonts w:ascii="Verdana" w:hAnsi="Verdana"/>
                <w:sz w:val="20"/>
                <w:szCs w:val="20"/>
              </w:rPr>
              <w:t xml:space="preserve">:  </w:t>
            </w:r>
            <w:hyperlink r:id="rId33" w:history="1">
              <w:r w:rsidRPr="00E81366">
                <w:rPr>
                  <w:rStyle w:val="-"/>
                  <w:rFonts w:ascii="Verdana" w:hAnsi="Verdana"/>
                  <w:sz w:val="20"/>
                  <w:szCs w:val="20"/>
                  <w:lang w:val="en-US"/>
                </w:rPr>
                <w:t>president</w:t>
              </w:r>
              <w:r w:rsidRPr="00E81366">
                <w:rPr>
                  <w:rStyle w:val="-"/>
                  <w:rFonts w:ascii="Verdana" w:hAnsi="Verdana"/>
                  <w:sz w:val="20"/>
                  <w:szCs w:val="20"/>
                </w:rPr>
                <w:t>@</w:t>
              </w:r>
              <w:proofErr w:type="spellStart"/>
              <w:r w:rsidRPr="00E81366">
                <w:rPr>
                  <w:rStyle w:val="-"/>
                  <w:rFonts w:ascii="Verdana" w:hAnsi="Verdana"/>
                  <w:sz w:val="20"/>
                  <w:szCs w:val="20"/>
                  <w:lang w:val="en-US"/>
                </w:rPr>
                <w:t>mrmm</w:t>
              </w:r>
              <w:proofErr w:type="spellEnd"/>
              <w:r w:rsidRPr="00E81366">
                <w:rPr>
                  <w:rStyle w:val="-"/>
                  <w:rFonts w:ascii="Verdana" w:hAnsi="Verdana"/>
                  <w:sz w:val="20"/>
                  <w:szCs w:val="20"/>
                </w:rPr>
                <w:t>.</w:t>
              </w:r>
              <w:proofErr w:type="spellStart"/>
              <w:r w:rsidRPr="00E81366">
                <w:rPr>
                  <w:rStyle w:val="-"/>
                  <w:rFonts w:ascii="Verdana" w:hAnsi="Verdana"/>
                  <w:sz w:val="20"/>
                  <w:szCs w:val="20"/>
                  <w:lang w:val="en-US"/>
                </w:rPr>
                <w:t>az</w:t>
              </w:r>
              <w:proofErr w:type="spellEnd"/>
            </w:hyperlink>
            <w:r w:rsidRPr="00E81366">
              <w:rPr>
                <w:rFonts w:ascii="Verdana" w:hAnsi="Verdana"/>
                <w:sz w:val="20"/>
                <w:szCs w:val="20"/>
              </w:rPr>
              <w:t xml:space="preserve">, </w:t>
            </w:r>
          </w:p>
          <w:p w:rsidR="00E81366" w:rsidRPr="00E81366" w:rsidRDefault="00E81366" w:rsidP="00E81366">
            <w:pPr>
              <w:rPr>
                <w:rFonts w:ascii="Verdana" w:hAnsi="Verdana"/>
                <w:b/>
                <w:bCs/>
                <w:sz w:val="20"/>
                <w:szCs w:val="20"/>
              </w:rPr>
            </w:pPr>
            <w:r w:rsidRPr="00E81366">
              <w:rPr>
                <w:rFonts w:ascii="Verdana" w:hAnsi="Verdana"/>
                <w:sz w:val="20"/>
                <w:szCs w:val="20"/>
                <w:lang w:val="en-US"/>
              </w:rPr>
              <w:t>Web</w:t>
            </w:r>
            <w:r w:rsidRPr="00E81366">
              <w:rPr>
                <w:rFonts w:ascii="Verdana" w:hAnsi="Verdana"/>
                <w:sz w:val="20"/>
                <w:szCs w:val="20"/>
              </w:rPr>
              <w:t xml:space="preserve">: </w:t>
            </w:r>
            <w:hyperlink r:id="rId34" w:history="1">
              <w:r w:rsidRPr="00E81366">
                <w:rPr>
                  <w:rStyle w:val="-"/>
                  <w:rFonts w:ascii="Verdana" w:hAnsi="Verdana"/>
                  <w:sz w:val="20"/>
                  <w:szCs w:val="20"/>
                  <w:lang w:val="en-US"/>
                </w:rPr>
                <w:t>www</w:t>
              </w:r>
              <w:r w:rsidRPr="00E81366">
                <w:rPr>
                  <w:rStyle w:val="-"/>
                  <w:rFonts w:ascii="Verdana" w:hAnsi="Verdana"/>
                  <w:sz w:val="20"/>
                  <w:szCs w:val="20"/>
                </w:rPr>
                <w:t>.</w:t>
              </w:r>
              <w:proofErr w:type="spellStart"/>
              <w:r w:rsidRPr="00E81366">
                <w:rPr>
                  <w:rStyle w:val="-"/>
                  <w:rFonts w:ascii="Verdana" w:hAnsi="Verdana"/>
                  <w:sz w:val="20"/>
                  <w:szCs w:val="20"/>
                  <w:lang w:val="en-US"/>
                </w:rPr>
                <w:t>mrmm</w:t>
              </w:r>
              <w:proofErr w:type="spellEnd"/>
              <w:r w:rsidRPr="00E81366">
                <w:rPr>
                  <w:rStyle w:val="-"/>
                  <w:rFonts w:ascii="Verdana" w:hAnsi="Verdana"/>
                  <w:sz w:val="20"/>
                  <w:szCs w:val="20"/>
                </w:rPr>
                <w:t>.</w:t>
              </w:r>
              <w:proofErr w:type="spellStart"/>
              <w:r w:rsidRPr="00E81366">
                <w:rPr>
                  <w:rStyle w:val="-"/>
                  <w:rFonts w:ascii="Verdana" w:hAnsi="Verdana"/>
                  <w:sz w:val="20"/>
                  <w:szCs w:val="20"/>
                  <w:lang w:val="en-US"/>
                </w:rPr>
                <w:t>az</w:t>
              </w:r>
              <w:proofErr w:type="spellEnd"/>
            </w:hyperlink>
            <w:r w:rsidRPr="00E81366">
              <w:rPr>
                <w:rFonts w:ascii="Verdana" w:hAnsi="Verdana"/>
                <w:sz w:val="20"/>
                <w:szCs w:val="20"/>
              </w:rPr>
              <w:t xml:space="preserve"> </w:t>
            </w:r>
          </w:p>
        </w:tc>
        <w:tc>
          <w:tcPr>
            <w:tcW w:w="4621" w:type="dxa"/>
          </w:tcPr>
          <w:p w:rsidR="00E81366" w:rsidRPr="00E81366" w:rsidRDefault="00E81366" w:rsidP="00E81366">
            <w:pPr>
              <w:rPr>
                <w:rFonts w:ascii="Verdana" w:hAnsi="Verdana"/>
                <w:b/>
                <w:bCs/>
                <w:sz w:val="20"/>
                <w:szCs w:val="20"/>
              </w:rPr>
            </w:pPr>
            <w:r w:rsidRPr="00E81366">
              <w:rPr>
                <w:rFonts w:ascii="Verdana" w:hAnsi="Verdana"/>
                <w:b/>
                <w:bCs/>
                <w:sz w:val="20"/>
                <w:szCs w:val="20"/>
              </w:rPr>
              <w:t>ΕΝΩΣΗ ΤΡΑΠΕΖΩΝ ΑΖΕΡΜΠΑΪΤΖΑΝ</w:t>
            </w:r>
          </w:p>
          <w:p w:rsidR="00E81366" w:rsidRPr="000048A3" w:rsidRDefault="00E81366" w:rsidP="00E81366">
            <w:pPr>
              <w:rPr>
                <w:rFonts w:ascii="Verdana" w:hAnsi="Verdana"/>
                <w:b/>
                <w:bCs/>
                <w:sz w:val="20"/>
                <w:szCs w:val="20"/>
              </w:rPr>
            </w:pPr>
            <w:r w:rsidRPr="00E81366">
              <w:rPr>
                <w:rFonts w:ascii="Verdana" w:hAnsi="Verdana"/>
                <w:b/>
                <w:bCs/>
                <w:sz w:val="20"/>
                <w:szCs w:val="20"/>
              </w:rPr>
              <w:t>Πρόεδρος</w:t>
            </w:r>
            <w:r w:rsidRPr="000048A3">
              <w:rPr>
                <w:rFonts w:ascii="Verdana" w:hAnsi="Verdana"/>
                <w:b/>
                <w:bCs/>
                <w:sz w:val="20"/>
                <w:szCs w:val="20"/>
              </w:rPr>
              <w:t xml:space="preserve">: </w:t>
            </w:r>
            <w:r w:rsidRPr="00E81366">
              <w:rPr>
                <w:rFonts w:ascii="Verdana" w:hAnsi="Verdana"/>
                <w:b/>
                <w:bCs/>
                <w:sz w:val="20"/>
                <w:szCs w:val="20"/>
                <w:lang w:val="en-US"/>
              </w:rPr>
              <w:t>Zakir</w:t>
            </w:r>
            <w:r w:rsidRPr="000048A3">
              <w:rPr>
                <w:rFonts w:ascii="Verdana" w:hAnsi="Verdana"/>
                <w:b/>
                <w:bCs/>
                <w:sz w:val="20"/>
                <w:szCs w:val="20"/>
              </w:rPr>
              <w:t xml:space="preserve"> </w:t>
            </w:r>
            <w:proofErr w:type="spellStart"/>
            <w:r w:rsidRPr="00E81366">
              <w:rPr>
                <w:rFonts w:ascii="Verdana" w:hAnsi="Verdana"/>
                <w:b/>
                <w:bCs/>
                <w:sz w:val="20"/>
                <w:szCs w:val="20"/>
                <w:lang w:val="en-US"/>
              </w:rPr>
              <w:t>Nuriyev</w:t>
            </w:r>
            <w:proofErr w:type="spellEnd"/>
          </w:p>
          <w:p w:rsidR="00E81366" w:rsidRPr="00652FAE" w:rsidRDefault="00E81366" w:rsidP="00E81366">
            <w:pPr>
              <w:rPr>
                <w:rFonts w:ascii="Verdana" w:hAnsi="Verdana"/>
                <w:sz w:val="20"/>
                <w:szCs w:val="20"/>
              </w:rPr>
            </w:pPr>
            <w:r w:rsidRPr="00E81366">
              <w:rPr>
                <w:rFonts w:ascii="Verdana" w:hAnsi="Verdana"/>
                <w:sz w:val="20"/>
                <w:szCs w:val="20"/>
              </w:rPr>
              <w:t>Δ</w:t>
            </w:r>
            <w:r w:rsidRPr="00652FAE">
              <w:rPr>
                <w:rFonts w:ascii="Verdana" w:hAnsi="Verdana"/>
                <w:sz w:val="20"/>
                <w:szCs w:val="20"/>
              </w:rPr>
              <w:t>/</w:t>
            </w:r>
            <w:proofErr w:type="spellStart"/>
            <w:r w:rsidRPr="00E81366">
              <w:rPr>
                <w:rFonts w:ascii="Verdana" w:hAnsi="Verdana"/>
                <w:sz w:val="20"/>
                <w:szCs w:val="20"/>
              </w:rPr>
              <w:t>νση</w:t>
            </w:r>
            <w:proofErr w:type="spellEnd"/>
            <w:r w:rsidRPr="00652FAE">
              <w:rPr>
                <w:rFonts w:ascii="Verdana" w:hAnsi="Verdana"/>
                <w:sz w:val="20"/>
                <w:szCs w:val="20"/>
              </w:rPr>
              <w:t xml:space="preserve">:  </w:t>
            </w:r>
            <w:r w:rsidRPr="00E81366">
              <w:rPr>
                <w:rFonts w:ascii="Verdana" w:hAnsi="Verdana"/>
                <w:sz w:val="20"/>
                <w:szCs w:val="20"/>
                <w:lang w:val="en-US"/>
              </w:rPr>
              <w:t>Baku</w:t>
            </w:r>
            <w:r w:rsidRPr="00652FAE">
              <w:rPr>
                <w:rFonts w:ascii="Verdana" w:hAnsi="Verdana"/>
                <w:sz w:val="20"/>
                <w:szCs w:val="20"/>
              </w:rPr>
              <w:t xml:space="preserve">, </w:t>
            </w:r>
            <w:r w:rsidRPr="00E81366">
              <w:rPr>
                <w:rFonts w:ascii="Verdana" w:hAnsi="Verdana"/>
                <w:sz w:val="20"/>
                <w:szCs w:val="20"/>
                <w:lang w:val="en-US"/>
              </w:rPr>
              <w:t>Samad</w:t>
            </w:r>
            <w:r w:rsidRPr="00652FAE">
              <w:rPr>
                <w:rFonts w:ascii="Verdana" w:hAnsi="Verdana"/>
                <w:sz w:val="20"/>
                <w:szCs w:val="20"/>
              </w:rPr>
              <w:t xml:space="preserve"> </w:t>
            </w:r>
            <w:proofErr w:type="spellStart"/>
            <w:r w:rsidRPr="00E81366">
              <w:rPr>
                <w:rFonts w:ascii="Verdana" w:hAnsi="Verdana"/>
                <w:sz w:val="20"/>
                <w:szCs w:val="20"/>
                <w:lang w:val="en-US"/>
              </w:rPr>
              <w:t>Vurghun</w:t>
            </w:r>
            <w:proofErr w:type="spellEnd"/>
            <w:r w:rsidRPr="00652FAE">
              <w:rPr>
                <w:rFonts w:ascii="Verdana" w:hAnsi="Verdana"/>
                <w:sz w:val="20"/>
                <w:szCs w:val="20"/>
              </w:rPr>
              <w:t xml:space="preserve"> 43, </w:t>
            </w:r>
            <w:r w:rsidRPr="00E81366">
              <w:rPr>
                <w:rFonts w:ascii="Verdana" w:hAnsi="Verdana"/>
                <w:sz w:val="20"/>
                <w:szCs w:val="20"/>
                <w:lang w:val="en-US"/>
              </w:rPr>
              <w:t>AZ</w:t>
            </w:r>
            <w:r w:rsidRPr="00652FAE">
              <w:rPr>
                <w:rFonts w:ascii="Verdana" w:hAnsi="Verdana"/>
                <w:sz w:val="20"/>
                <w:szCs w:val="20"/>
              </w:rPr>
              <w:t>1014</w:t>
            </w:r>
          </w:p>
          <w:p w:rsidR="00E81366" w:rsidRPr="00E81366" w:rsidRDefault="00E81366" w:rsidP="00E81366">
            <w:pPr>
              <w:rPr>
                <w:rFonts w:ascii="Verdana" w:hAnsi="Verdana"/>
                <w:sz w:val="20"/>
                <w:szCs w:val="20"/>
              </w:rPr>
            </w:pPr>
            <w:proofErr w:type="spellStart"/>
            <w:r w:rsidRPr="00E81366">
              <w:rPr>
                <w:rFonts w:ascii="Verdana" w:hAnsi="Verdana"/>
                <w:sz w:val="20"/>
                <w:szCs w:val="20"/>
              </w:rPr>
              <w:t>Τηλ</w:t>
            </w:r>
            <w:proofErr w:type="spellEnd"/>
            <w:r w:rsidRPr="00E81366">
              <w:rPr>
                <w:rFonts w:ascii="Verdana" w:hAnsi="Verdana"/>
                <w:sz w:val="20"/>
                <w:szCs w:val="20"/>
              </w:rPr>
              <w:t>: (0099 412) 497 6169, 497 1515</w:t>
            </w:r>
          </w:p>
          <w:p w:rsidR="00E81366" w:rsidRPr="00E81366" w:rsidRDefault="00E81366" w:rsidP="00E81366">
            <w:pPr>
              <w:rPr>
                <w:rFonts w:ascii="Verdana" w:hAnsi="Verdana"/>
                <w:sz w:val="20"/>
                <w:szCs w:val="20"/>
              </w:rPr>
            </w:pPr>
            <w:proofErr w:type="spellStart"/>
            <w:r w:rsidRPr="00E81366">
              <w:rPr>
                <w:rFonts w:ascii="Verdana" w:hAnsi="Verdana"/>
                <w:sz w:val="20"/>
                <w:szCs w:val="20"/>
              </w:rPr>
              <w:t>Ηλ</w:t>
            </w:r>
            <w:proofErr w:type="spellEnd"/>
            <w:r w:rsidRPr="00E81366">
              <w:rPr>
                <w:rFonts w:ascii="Verdana" w:hAnsi="Verdana"/>
                <w:sz w:val="20"/>
                <w:szCs w:val="20"/>
              </w:rPr>
              <w:t>. δ/</w:t>
            </w:r>
            <w:proofErr w:type="spellStart"/>
            <w:r w:rsidRPr="00E81366">
              <w:rPr>
                <w:rFonts w:ascii="Verdana" w:hAnsi="Verdana"/>
                <w:sz w:val="20"/>
                <w:szCs w:val="20"/>
              </w:rPr>
              <w:t>νση</w:t>
            </w:r>
            <w:proofErr w:type="spellEnd"/>
            <w:r w:rsidRPr="00E81366">
              <w:rPr>
                <w:rFonts w:ascii="Verdana" w:hAnsi="Verdana"/>
                <w:sz w:val="20"/>
                <w:szCs w:val="20"/>
              </w:rPr>
              <w:t xml:space="preserve">:  </w:t>
            </w:r>
            <w:hyperlink r:id="rId35" w:history="1">
              <w:r w:rsidRPr="00E81366">
                <w:rPr>
                  <w:rStyle w:val="-"/>
                  <w:rFonts w:ascii="Verdana" w:hAnsi="Verdana"/>
                  <w:sz w:val="20"/>
                  <w:szCs w:val="20"/>
                  <w:lang w:val="fr-FR"/>
                </w:rPr>
                <w:t>office</w:t>
              </w:r>
              <w:r w:rsidRPr="00E81366">
                <w:rPr>
                  <w:rStyle w:val="-"/>
                  <w:rFonts w:ascii="Verdana" w:hAnsi="Verdana"/>
                  <w:sz w:val="20"/>
                  <w:szCs w:val="20"/>
                </w:rPr>
                <w:t>@</w:t>
              </w:r>
              <w:proofErr w:type="spellStart"/>
              <w:r w:rsidRPr="00E81366">
                <w:rPr>
                  <w:rStyle w:val="-"/>
                  <w:rFonts w:ascii="Verdana" w:hAnsi="Verdana"/>
                  <w:sz w:val="20"/>
                  <w:szCs w:val="20"/>
                  <w:lang w:val="fr-FR"/>
                </w:rPr>
                <w:t>aba</w:t>
              </w:r>
              <w:proofErr w:type="spellEnd"/>
              <w:r w:rsidRPr="00E81366">
                <w:rPr>
                  <w:rStyle w:val="-"/>
                  <w:rFonts w:ascii="Verdana" w:hAnsi="Verdana"/>
                  <w:sz w:val="20"/>
                  <w:szCs w:val="20"/>
                </w:rPr>
                <w:t>.</w:t>
              </w:r>
              <w:proofErr w:type="spellStart"/>
              <w:r w:rsidRPr="00E81366">
                <w:rPr>
                  <w:rStyle w:val="-"/>
                  <w:rFonts w:ascii="Verdana" w:hAnsi="Verdana"/>
                  <w:sz w:val="20"/>
                  <w:szCs w:val="20"/>
                  <w:lang w:val="fr-FR"/>
                </w:rPr>
                <w:t>az</w:t>
              </w:r>
              <w:proofErr w:type="spellEnd"/>
            </w:hyperlink>
            <w:r w:rsidRPr="00E81366">
              <w:rPr>
                <w:rFonts w:ascii="Verdana" w:hAnsi="Verdana"/>
                <w:sz w:val="20"/>
                <w:szCs w:val="20"/>
              </w:rPr>
              <w:t xml:space="preserve"> </w:t>
            </w:r>
          </w:p>
          <w:p w:rsidR="00E81366" w:rsidRPr="00E81366" w:rsidRDefault="00E81366" w:rsidP="00E81366">
            <w:pPr>
              <w:rPr>
                <w:rFonts w:ascii="Verdana" w:hAnsi="Verdana"/>
                <w:sz w:val="20"/>
                <w:szCs w:val="20"/>
              </w:rPr>
            </w:pPr>
            <w:r w:rsidRPr="00E81366">
              <w:rPr>
                <w:rFonts w:ascii="Verdana" w:hAnsi="Verdana"/>
                <w:sz w:val="20"/>
                <w:szCs w:val="20"/>
                <w:lang w:val="fr-FR"/>
              </w:rPr>
              <w:t>Web </w:t>
            </w:r>
            <w:r w:rsidRPr="00E81366">
              <w:rPr>
                <w:rFonts w:ascii="Verdana" w:hAnsi="Verdana"/>
                <w:sz w:val="20"/>
                <w:szCs w:val="20"/>
              </w:rPr>
              <w:t xml:space="preserve">: </w:t>
            </w:r>
            <w:hyperlink r:id="rId36" w:history="1">
              <w:r w:rsidRPr="00E81366">
                <w:rPr>
                  <w:rStyle w:val="-"/>
                  <w:rFonts w:ascii="Verdana" w:hAnsi="Verdana"/>
                  <w:sz w:val="20"/>
                  <w:szCs w:val="20"/>
                  <w:lang w:val="fr-FR"/>
                </w:rPr>
                <w:t>www</w:t>
              </w:r>
              <w:r w:rsidRPr="00E81366">
                <w:rPr>
                  <w:rStyle w:val="-"/>
                  <w:rFonts w:ascii="Verdana" w:hAnsi="Verdana"/>
                  <w:sz w:val="20"/>
                  <w:szCs w:val="20"/>
                </w:rPr>
                <w:t>.</w:t>
              </w:r>
              <w:proofErr w:type="spellStart"/>
              <w:r w:rsidRPr="00E81366">
                <w:rPr>
                  <w:rStyle w:val="-"/>
                  <w:rFonts w:ascii="Verdana" w:hAnsi="Verdana"/>
                  <w:sz w:val="20"/>
                  <w:szCs w:val="20"/>
                  <w:lang w:val="fr-FR"/>
                </w:rPr>
                <w:t>aba</w:t>
              </w:r>
              <w:proofErr w:type="spellEnd"/>
              <w:r w:rsidRPr="00E81366">
                <w:rPr>
                  <w:rStyle w:val="-"/>
                  <w:rFonts w:ascii="Verdana" w:hAnsi="Verdana"/>
                  <w:sz w:val="20"/>
                  <w:szCs w:val="20"/>
                </w:rPr>
                <w:t>.</w:t>
              </w:r>
              <w:proofErr w:type="spellStart"/>
              <w:r w:rsidRPr="00E81366">
                <w:rPr>
                  <w:rStyle w:val="-"/>
                  <w:rFonts w:ascii="Verdana" w:hAnsi="Verdana"/>
                  <w:sz w:val="20"/>
                  <w:szCs w:val="20"/>
                  <w:lang w:val="fr-FR"/>
                </w:rPr>
                <w:t>az</w:t>
              </w:r>
              <w:proofErr w:type="spellEnd"/>
            </w:hyperlink>
          </w:p>
          <w:p w:rsidR="00E81366" w:rsidRPr="00E81366" w:rsidRDefault="00E81366" w:rsidP="00E81366">
            <w:pPr>
              <w:rPr>
                <w:rFonts w:ascii="Verdana" w:hAnsi="Verdana"/>
                <w:b/>
                <w:bCs/>
                <w:sz w:val="20"/>
                <w:szCs w:val="20"/>
              </w:rPr>
            </w:pPr>
          </w:p>
        </w:tc>
      </w:tr>
      <w:tr w:rsidR="00E81366" w:rsidRPr="00E81366" w:rsidTr="00E81366">
        <w:tc>
          <w:tcPr>
            <w:tcW w:w="4621" w:type="dxa"/>
          </w:tcPr>
          <w:p w:rsidR="00E81366" w:rsidRPr="00E81366" w:rsidRDefault="00E81366" w:rsidP="00E81366">
            <w:pPr>
              <w:pStyle w:val="Body2"/>
              <w:spacing w:before="0" w:after="0"/>
              <w:ind w:left="0"/>
              <w:jc w:val="both"/>
              <w:rPr>
                <w:rFonts w:ascii="Verdana" w:hAnsi="Verdana" w:cs="Times New Roman"/>
                <w:b/>
                <w:bCs/>
                <w:sz w:val="20"/>
                <w:szCs w:val="20"/>
                <w:lang w:val="el-GR"/>
              </w:rPr>
            </w:pPr>
            <w:r w:rsidRPr="00E81366">
              <w:rPr>
                <w:rFonts w:ascii="Verdana" w:hAnsi="Verdana" w:cs="Times New Roman"/>
                <w:b/>
                <w:bCs/>
                <w:sz w:val="20"/>
                <w:szCs w:val="20"/>
              </w:rPr>
              <w:t>ITECA</w:t>
            </w:r>
            <w:r w:rsidRPr="00E81366">
              <w:rPr>
                <w:rFonts w:ascii="Verdana" w:hAnsi="Verdana" w:cs="Times New Roman"/>
                <w:b/>
                <w:bCs/>
                <w:sz w:val="20"/>
                <w:szCs w:val="20"/>
                <w:lang w:val="el-GR"/>
              </w:rPr>
              <w:t xml:space="preserve"> </w:t>
            </w:r>
            <w:r w:rsidRPr="00E81366">
              <w:rPr>
                <w:rFonts w:ascii="Verdana" w:hAnsi="Verdana" w:cs="Times New Roman"/>
                <w:b/>
                <w:bCs/>
                <w:sz w:val="20"/>
                <w:szCs w:val="20"/>
              </w:rPr>
              <w:t>Caspian</w:t>
            </w:r>
            <w:r w:rsidRPr="00E81366">
              <w:rPr>
                <w:rFonts w:ascii="Verdana" w:hAnsi="Verdana" w:cs="Times New Roman"/>
                <w:b/>
                <w:bCs/>
                <w:sz w:val="20"/>
                <w:szCs w:val="20"/>
                <w:lang w:val="el-GR"/>
              </w:rPr>
              <w:t xml:space="preserve"> (ΔΙΟΡΓΑΝΩΤΗΣ ΤΩΝ ΚΥΡΙΟΤΕΡΩΝ ΕΚΘΕΣΕΩΝ)</w:t>
            </w:r>
          </w:p>
          <w:p w:rsidR="00E81366" w:rsidRPr="00E81366" w:rsidRDefault="00E81366" w:rsidP="00E81366">
            <w:pPr>
              <w:pStyle w:val="Body2"/>
              <w:spacing w:before="0" w:after="0"/>
              <w:ind w:left="0"/>
              <w:jc w:val="both"/>
              <w:rPr>
                <w:rFonts w:ascii="Verdana" w:hAnsi="Verdana" w:cs="Times New Roman"/>
                <w:b/>
                <w:bCs/>
                <w:sz w:val="20"/>
                <w:szCs w:val="20"/>
              </w:rPr>
            </w:pPr>
            <w:r w:rsidRPr="00E81366">
              <w:rPr>
                <w:rFonts w:ascii="Verdana" w:hAnsi="Verdana" w:cs="Times New Roman"/>
                <w:sz w:val="20"/>
                <w:szCs w:val="20"/>
              </w:rPr>
              <w:t>Δ/</w:t>
            </w:r>
            <w:proofErr w:type="spellStart"/>
            <w:r w:rsidRPr="00E81366">
              <w:rPr>
                <w:rFonts w:ascii="Verdana" w:hAnsi="Verdana" w:cs="Times New Roman"/>
                <w:sz w:val="20"/>
                <w:szCs w:val="20"/>
              </w:rPr>
              <w:t>νση</w:t>
            </w:r>
            <w:proofErr w:type="spellEnd"/>
            <w:r w:rsidRPr="00E81366">
              <w:rPr>
                <w:rFonts w:ascii="Verdana" w:hAnsi="Verdana" w:cs="Times New Roman"/>
                <w:sz w:val="20"/>
                <w:szCs w:val="20"/>
              </w:rPr>
              <w:t>: 15, Nobel Avenue, 7th floor, Azure Business Center, Baku, Azerbaijan, AZ1025</w:t>
            </w:r>
          </w:p>
          <w:p w:rsidR="00E81366" w:rsidRPr="00E81366" w:rsidRDefault="00E81366" w:rsidP="00E81366">
            <w:pPr>
              <w:pStyle w:val="Body2"/>
              <w:ind w:left="0"/>
              <w:jc w:val="both"/>
              <w:rPr>
                <w:rFonts w:ascii="Verdana" w:hAnsi="Verdana" w:cs="Times New Roman"/>
                <w:sz w:val="20"/>
                <w:szCs w:val="20"/>
                <w:lang w:val="fr-FR"/>
              </w:rPr>
            </w:pPr>
            <w:proofErr w:type="spellStart"/>
            <w:r w:rsidRPr="00E81366">
              <w:rPr>
                <w:rFonts w:ascii="Verdana" w:hAnsi="Verdana" w:cs="Times New Roman"/>
                <w:sz w:val="20"/>
                <w:szCs w:val="20"/>
                <w:lang w:val="el-GR"/>
              </w:rPr>
              <w:t>Τηλ</w:t>
            </w:r>
            <w:proofErr w:type="spellEnd"/>
            <w:r w:rsidRPr="00E81366">
              <w:rPr>
                <w:rFonts w:ascii="Verdana" w:hAnsi="Verdana" w:cs="Times New Roman"/>
                <w:sz w:val="20"/>
                <w:szCs w:val="20"/>
                <w:lang w:val="fr-FR"/>
              </w:rPr>
              <w:t xml:space="preserve"> : </w:t>
            </w:r>
            <w:r w:rsidRPr="00E81366">
              <w:rPr>
                <w:rFonts w:ascii="Verdana" w:hAnsi="Verdana" w:cs="Times New Roman"/>
                <w:sz w:val="20"/>
                <w:szCs w:val="20"/>
                <w:lang w:val="it-IT"/>
              </w:rPr>
              <w:t>(0099 412)</w:t>
            </w:r>
            <w:r w:rsidRPr="00E81366">
              <w:rPr>
                <w:rFonts w:ascii="Verdana" w:hAnsi="Verdana" w:cs="Times New Roman"/>
                <w:sz w:val="20"/>
                <w:szCs w:val="20"/>
                <w:lang w:val="fr-FR"/>
              </w:rPr>
              <w:t xml:space="preserve"> 4041000</w:t>
            </w:r>
          </w:p>
          <w:p w:rsidR="00E81366" w:rsidRPr="00E81366" w:rsidRDefault="00E81366" w:rsidP="00E81366">
            <w:pPr>
              <w:pStyle w:val="Body2"/>
              <w:spacing w:before="0" w:after="0"/>
              <w:ind w:left="0"/>
              <w:jc w:val="both"/>
              <w:rPr>
                <w:rFonts w:ascii="Verdana" w:hAnsi="Verdana" w:cs="Times New Roman"/>
                <w:sz w:val="20"/>
                <w:szCs w:val="20"/>
                <w:lang w:val="fr-FR"/>
              </w:rPr>
            </w:pPr>
            <w:r w:rsidRPr="00E81366">
              <w:rPr>
                <w:rFonts w:ascii="Verdana" w:hAnsi="Verdana" w:cs="Times New Roman"/>
                <w:sz w:val="20"/>
                <w:szCs w:val="20"/>
                <w:lang w:val="fr-FR"/>
              </w:rPr>
              <w:t xml:space="preserve">E-mail: </w:t>
            </w:r>
            <w:hyperlink r:id="rId37" w:history="1">
              <w:r w:rsidRPr="00E81366">
                <w:rPr>
                  <w:rStyle w:val="-"/>
                  <w:rFonts w:ascii="Verdana" w:eastAsiaTheme="majorEastAsia" w:hAnsi="Verdana" w:cs="Times New Roman"/>
                  <w:sz w:val="20"/>
                  <w:szCs w:val="20"/>
                  <w:lang w:val="fr-FR"/>
                </w:rPr>
                <w:t>office@iteca.az</w:t>
              </w:r>
            </w:hyperlink>
          </w:p>
          <w:p w:rsidR="00E81366" w:rsidRPr="00E81366" w:rsidRDefault="00E81366" w:rsidP="00E81366">
            <w:pPr>
              <w:pStyle w:val="Body2"/>
              <w:spacing w:before="0" w:after="0"/>
              <w:ind w:left="0"/>
              <w:jc w:val="both"/>
              <w:rPr>
                <w:rFonts w:ascii="Verdana" w:hAnsi="Verdana"/>
                <w:sz w:val="20"/>
                <w:szCs w:val="20"/>
                <w:lang w:val="it-IT"/>
              </w:rPr>
            </w:pPr>
            <w:r w:rsidRPr="00E81366">
              <w:rPr>
                <w:rFonts w:ascii="Verdana" w:hAnsi="Verdana" w:cs="Times New Roman"/>
                <w:sz w:val="20"/>
                <w:szCs w:val="20"/>
                <w:lang w:val="fr-FR"/>
              </w:rPr>
              <w:t xml:space="preserve">Web: </w:t>
            </w:r>
            <w:hyperlink r:id="rId38" w:history="1">
              <w:r w:rsidRPr="00E81366">
                <w:rPr>
                  <w:rStyle w:val="-"/>
                  <w:rFonts w:ascii="Verdana" w:eastAsiaTheme="majorEastAsia" w:hAnsi="Verdana" w:cs="Times New Roman"/>
                  <w:sz w:val="20"/>
                  <w:szCs w:val="20"/>
                  <w:lang w:val="fr-FR"/>
                </w:rPr>
                <w:t>www.iteca.az</w:t>
              </w:r>
            </w:hyperlink>
          </w:p>
          <w:p w:rsidR="00E81366" w:rsidRPr="00E81366" w:rsidRDefault="00E81366" w:rsidP="00E81366">
            <w:pPr>
              <w:rPr>
                <w:rFonts w:ascii="Verdana" w:hAnsi="Verdana"/>
                <w:b/>
                <w:bCs/>
                <w:sz w:val="20"/>
                <w:szCs w:val="20"/>
                <w:lang w:val="en-US"/>
              </w:rPr>
            </w:pPr>
          </w:p>
        </w:tc>
        <w:tc>
          <w:tcPr>
            <w:tcW w:w="4621" w:type="dxa"/>
          </w:tcPr>
          <w:p w:rsidR="00E81366" w:rsidRPr="00E81366" w:rsidRDefault="00E81366" w:rsidP="00E81366">
            <w:pPr>
              <w:rPr>
                <w:rFonts w:ascii="Verdana" w:hAnsi="Verdana"/>
                <w:b/>
                <w:bCs/>
                <w:sz w:val="20"/>
                <w:szCs w:val="20"/>
                <w:lang w:val="en-US"/>
              </w:rPr>
            </w:pPr>
          </w:p>
        </w:tc>
      </w:tr>
    </w:tbl>
    <w:p w:rsidR="00C20366" w:rsidRPr="00E81366" w:rsidRDefault="00C20366" w:rsidP="00A61430">
      <w:pPr>
        <w:jc w:val="both"/>
        <w:rPr>
          <w:rFonts w:ascii="Verdana" w:hAnsi="Verdana"/>
          <w:sz w:val="20"/>
          <w:szCs w:val="20"/>
          <w:lang w:val="en-US"/>
        </w:rPr>
      </w:pPr>
    </w:p>
    <w:sectPr w:rsidR="00C20366" w:rsidRPr="00E81366" w:rsidSect="004B6DB2">
      <w:footerReference w:type="default" r:id="rId3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F9C" w:rsidRDefault="00565F9C" w:rsidP="00A36517">
      <w:pPr>
        <w:spacing w:after="0" w:line="240" w:lineRule="auto"/>
      </w:pPr>
      <w:r>
        <w:separator/>
      </w:r>
    </w:p>
  </w:endnote>
  <w:endnote w:type="continuationSeparator" w:id="0">
    <w:p w:rsidR="00565F9C" w:rsidRDefault="00565F9C" w:rsidP="00A3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2D" w:rsidRPr="00A10B1E" w:rsidRDefault="00565F9C">
    <w:pPr>
      <w:jc w:val="right"/>
    </w:pPr>
    <w:r>
      <w:fldChar w:fldCharType="begin"/>
    </w:r>
    <w:r>
      <w:instrText xml:space="preserve"> PAGE   \* MERGEFORMAT </w:instrText>
    </w:r>
    <w:r>
      <w:fldChar w:fldCharType="separate"/>
    </w:r>
    <w:r w:rsidR="0006405D">
      <w:rPr>
        <w:noProof/>
      </w:rPr>
      <w:t>5</w:t>
    </w:r>
    <w:r>
      <w:rPr>
        <w:noProof/>
      </w:rPr>
      <w:fldChar w:fldCharType="end"/>
    </w:r>
  </w:p>
  <w:p w:rsidR="00F0622D" w:rsidRDefault="00F0622D">
    <w:pPr>
      <w:pStyle w:val="a7"/>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F9C" w:rsidRDefault="00565F9C" w:rsidP="00A36517">
      <w:pPr>
        <w:spacing w:after="0" w:line="240" w:lineRule="auto"/>
      </w:pPr>
      <w:r>
        <w:separator/>
      </w:r>
    </w:p>
  </w:footnote>
  <w:footnote w:type="continuationSeparator" w:id="0">
    <w:p w:rsidR="00565F9C" w:rsidRDefault="00565F9C" w:rsidP="00A36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2D" w:rsidRPr="00A36517" w:rsidRDefault="00F0622D" w:rsidP="00A365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E6A"/>
    <w:multiLevelType w:val="hybridMultilevel"/>
    <w:tmpl w:val="35F69336"/>
    <w:lvl w:ilvl="0" w:tplc="0408000F">
      <w:start w:val="1"/>
      <w:numFmt w:val="decimal"/>
      <w:lvlText w:val="%1."/>
      <w:lvlJc w:val="left"/>
      <w:pPr>
        <w:ind w:left="360" w:hanging="360"/>
      </w:p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 w15:restartNumberingAfterBreak="0">
    <w:nsid w:val="04F84B0A"/>
    <w:multiLevelType w:val="multilevel"/>
    <w:tmpl w:val="F40AE97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57D4316"/>
    <w:multiLevelType w:val="multilevel"/>
    <w:tmpl w:val="E858F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0664657"/>
    <w:multiLevelType w:val="multilevel"/>
    <w:tmpl w:val="50C4E3C2"/>
    <w:lvl w:ilvl="0">
      <w:start w:val="1"/>
      <w:numFmt w:val="decimal"/>
      <w:lvlText w:val="%1"/>
      <w:lvlJc w:val="left"/>
      <w:pPr>
        <w:ind w:left="390" w:hanging="390"/>
      </w:pPr>
      <w:rPr>
        <w:rFonts w:hint="default"/>
      </w:rPr>
    </w:lvl>
    <w:lvl w:ilvl="1">
      <w:start w:val="5"/>
      <w:numFmt w:val="decimal"/>
      <w:lvlText w:val="%1.%2"/>
      <w:lvlJc w:val="left"/>
      <w:pPr>
        <w:ind w:left="795" w:hanging="720"/>
      </w:pPr>
      <w:rPr>
        <w:rFonts w:hint="default"/>
      </w:rPr>
    </w:lvl>
    <w:lvl w:ilvl="2">
      <w:start w:val="1"/>
      <w:numFmt w:val="decimal"/>
      <w:lvlText w:val="%1.%2.%3"/>
      <w:lvlJc w:val="left"/>
      <w:pPr>
        <w:ind w:left="1230" w:hanging="108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2175" w:hanging="1800"/>
      </w:pPr>
      <w:rPr>
        <w:rFonts w:hint="default"/>
      </w:rPr>
    </w:lvl>
    <w:lvl w:ilvl="6">
      <w:start w:val="1"/>
      <w:numFmt w:val="decimal"/>
      <w:lvlText w:val="%1.%2.%3.%4.%5.%6.%7"/>
      <w:lvlJc w:val="left"/>
      <w:pPr>
        <w:ind w:left="2610" w:hanging="2160"/>
      </w:pPr>
      <w:rPr>
        <w:rFonts w:hint="default"/>
      </w:rPr>
    </w:lvl>
    <w:lvl w:ilvl="7">
      <w:start w:val="1"/>
      <w:numFmt w:val="decimal"/>
      <w:lvlText w:val="%1.%2.%3.%4.%5.%6.%7.%8"/>
      <w:lvlJc w:val="left"/>
      <w:pPr>
        <w:ind w:left="3045" w:hanging="2520"/>
      </w:pPr>
      <w:rPr>
        <w:rFonts w:hint="default"/>
      </w:rPr>
    </w:lvl>
    <w:lvl w:ilvl="8">
      <w:start w:val="1"/>
      <w:numFmt w:val="decimal"/>
      <w:lvlText w:val="%1.%2.%3.%4.%5.%6.%7.%8.%9"/>
      <w:lvlJc w:val="left"/>
      <w:pPr>
        <w:ind w:left="3120" w:hanging="2520"/>
      </w:pPr>
      <w:rPr>
        <w:rFonts w:hint="default"/>
      </w:rPr>
    </w:lvl>
  </w:abstractNum>
  <w:abstractNum w:abstractNumId="4" w15:restartNumberingAfterBreak="0">
    <w:nsid w:val="19C9666C"/>
    <w:multiLevelType w:val="multilevel"/>
    <w:tmpl w:val="FFEA765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A0A25DF"/>
    <w:multiLevelType w:val="hybridMultilevel"/>
    <w:tmpl w:val="1C264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F32C29"/>
    <w:multiLevelType w:val="hybridMultilevel"/>
    <w:tmpl w:val="A61E7D34"/>
    <w:lvl w:ilvl="0" w:tplc="C212C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A50BD"/>
    <w:multiLevelType w:val="hybridMultilevel"/>
    <w:tmpl w:val="3608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F3CC8"/>
    <w:multiLevelType w:val="hybridMultilevel"/>
    <w:tmpl w:val="12D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60AA9"/>
    <w:multiLevelType w:val="multilevel"/>
    <w:tmpl w:val="4130491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A655C8"/>
    <w:multiLevelType w:val="hybridMultilevel"/>
    <w:tmpl w:val="3EF4A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71126"/>
    <w:multiLevelType w:val="hybridMultilevel"/>
    <w:tmpl w:val="D30617EC"/>
    <w:lvl w:ilvl="0" w:tplc="5136010E">
      <w:start w:val="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9E3D70"/>
    <w:multiLevelType w:val="multilevel"/>
    <w:tmpl w:val="45C64798"/>
    <w:lvl w:ilvl="0">
      <w:start w:val="1"/>
      <w:numFmt w:val="decimal"/>
      <w:lvlText w:val="%1"/>
      <w:lvlJc w:val="left"/>
      <w:pPr>
        <w:ind w:left="390" w:hanging="39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1230" w:hanging="108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2175" w:hanging="1800"/>
      </w:pPr>
      <w:rPr>
        <w:rFonts w:hint="default"/>
      </w:rPr>
    </w:lvl>
    <w:lvl w:ilvl="6">
      <w:start w:val="1"/>
      <w:numFmt w:val="decimal"/>
      <w:lvlText w:val="%1.%2.%3.%4.%5.%6.%7"/>
      <w:lvlJc w:val="left"/>
      <w:pPr>
        <w:ind w:left="2610" w:hanging="2160"/>
      </w:pPr>
      <w:rPr>
        <w:rFonts w:hint="default"/>
      </w:rPr>
    </w:lvl>
    <w:lvl w:ilvl="7">
      <w:start w:val="1"/>
      <w:numFmt w:val="decimal"/>
      <w:lvlText w:val="%1.%2.%3.%4.%5.%6.%7.%8"/>
      <w:lvlJc w:val="left"/>
      <w:pPr>
        <w:ind w:left="3045" w:hanging="2520"/>
      </w:pPr>
      <w:rPr>
        <w:rFonts w:hint="default"/>
      </w:rPr>
    </w:lvl>
    <w:lvl w:ilvl="8">
      <w:start w:val="1"/>
      <w:numFmt w:val="decimal"/>
      <w:lvlText w:val="%1.%2.%3.%4.%5.%6.%7.%8.%9"/>
      <w:lvlJc w:val="left"/>
      <w:pPr>
        <w:ind w:left="3120" w:hanging="2520"/>
      </w:pPr>
      <w:rPr>
        <w:rFonts w:hint="default"/>
      </w:rPr>
    </w:lvl>
  </w:abstractNum>
  <w:abstractNum w:abstractNumId="13" w15:restartNumberingAfterBreak="0">
    <w:nsid w:val="364A7E8E"/>
    <w:multiLevelType w:val="multilevel"/>
    <w:tmpl w:val="B3A8E85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8902F92"/>
    <w:multiLevelType w:val="hybridMultilevel"/>
    <w:tmpl w:val="A91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77058"/>
    <w:multiLevelType w:val="multilevel"/>
    <w:tmpl w:val="8730A584"/>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F780CB0"/>
    <w:multiLevelType w:val="hybridMultilevel"/>
    <w:tmpl w:val="6BE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B72BF"/>
    <w:multiLevelType w:val="multilevel"/>
    <w:tmpl w:val="D51AD20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45017535"/>
    <w:multiLevelType w:val="multilevel"/>
    <w:tmpl w:val="D974D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15:restartNumberingAfterBreak="0">
    <w:nsid w:val="45E6406B"/>
    <w:multiLevelType w:val="hybridMultilevel"/>
    <w:tmpl w:val="4634C3EC"/>
    <w:lvl w:ilvl="0" w:tplc="A950FF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F1AEE"/>
    <w:multiLevelType w:val="multilevel"/>
    <w:tmpl w:val="D51AD20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48B50D37"/>
    <w:multiLevelType w:val="hybridMultilevel"/>
    <w:tmpl w:val="FDE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B0B07"/>
    <w:multiLevelType w:val="multilevel"/>
    <w:tmpl w:val="845E9D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ED62B08"/>
    <w:multiLevelType w:val="hybridMultilevel"/>
    <w:tmpl w:val="F8020D22"/>
    <w:lvl w:ilvl="0" w:tplc="B44E83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E17F7"/>
    <w:multiLevelType w:val="multilevel"/>
    <w:tmpl w:val="54CA515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5F2494"/>
    <w:multiLevelType w:val="multilevel"/>
    <w:tmpl w:val="E7F44146"/>
    <w:lvl w:ilvl="0">
      <w:start w:val="1"/>
      <w:numFmt w:val="decimal"/>
      <w:pStyle w:val="1"/>
      <w:lvlText w:val="%1."/>
      <w:lvlJc w:val="left"/>
      <w:pPr>
        <w:ind w:left="432" w:hanging="432"/>
      </w:pPr>
      <w:rPr>
        <w:rFonts w:asciiTheme="majorHAnsi" w:eastAsiaTheme="majorEastAsia" w:hAnsiTheme="majorHAnsi" w:cstheme="majorBidi"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6" w15:restartNumberingAfterBreak="0">
    <w:nsid w:val="57CB5E91"/>
    <w:multiLevelType w:val="hybridMultilevel"/>
    <w:tmpl w:val="FE9C3786"/>
    <w:lvl w:ilvl="0" w:tplc="6DAAB3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A42E3"/>
    <w:multiLevelType w:val="hybridMultilevel"/>
    <w:tmpl w:val="A03E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C7DC7"/>
    <w:multiLevelType w:val="multilevel"/>
    <w:tmpl w:val="43F0DB0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59973E1"/>
    <w:multiLevelType w:val="hybridMultilevel"/>
    <w:tmpl w:val="9A8EE6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0388D"/>
    <w:multiLevelType w:val="multilevel"/>
    <w:tmpl w:val="58D69CC2"/>
    <w:lvl w:ilvl="0">
      <w:start w:val="1"/>
      <w:numFmt w:val="decimal"/>
      <w:lvlText w:val="%1."/>
      <w:lvlJc w:val="left"/>
      <w:pPr>
        <w:ind w:left="510" w:hanging="510"/>
      </w:pPr>
      <w:rPr>
        <w:rFonts w:hint="default"/>
        <w:color w:val="1F497D" w:themeColor="text2"/>
      </w:rPr>
    </w:lvl>
    <w:lvl w:ilvl="1">
      <w:start w:val="1"/>
      <w:numFmt w:val="decimal"/>
      <w:lvlText w:val="%1.%2."/>
      <w:lvlJc w:val="left"/>
      <w:pPr>
        <w:ind w:left="720" w:hanging="720"/>
      </w:pPr>
      <w:rPr>
        <w:rFonts w:hint="default"/>
        <w:color w:val="1F497D" w:themeColor="text2"/>
      </w:rPr>
    </w:lvl>
    <w:lvl w:ilvl="2">
      <w:start w:val="1"/>
      <w:numFmt w:val="decimal"/>
      <w:lvlText w:val="%1.%2.%3."/>
      <w:lvlJc w:val="left"/>
      <w:pPr>
        <w:ind w:left="1080" w:hanging="1080"/>
      </w:pPr>
      <w:rPr>
        <w:rFonts w:hint="default"/>
        <w:color w:val="1F497D" w:themeColor="text2"/>
      </w:rPr>
    </w:lvl>
    <w:lvl w:ilvl="3">
      <w:start w:val="1"/>
      <w:numFmt w:val="decimal"/>
      <w:lvlText w:val="%1.%2.%3.%4."/>
      <w:lvlJc w:val="left"/>
      <w:pPr>
        <w:ind w:left="1440" w:hanging="1440"/>
      </w:pPr>
      <w:rPr>
        <w:rFonts w:hint="default"/>
        <w:color w:val="1F497D" w:themeColor="text2"/>
      </w:rPr>
    </w:lvl>
    <w:lvl w:ilvl="4">
      <w:start w:val="1"/>
      <w:numFmt w:val="decimal"/>
      <w:lvlText w:val="%1.%2.%3.%4.%5."/>
      <w:lvlJc w:val="left"/>
      <w:pPr>
        <w:ind w:left="1800" w:hanging="1800"/>
      </w:pPr>
      <w:rPr>
        <w:rFonts w:hint="default"/>
        <w:color w:val="1F497D" w:themeColor="text2"/>
      </w:rPr>
    </w:lvl>
    <w:lvl w:ilvl="5">
      <w:start w:val="1"/>
      <w:numFmt w:val="decimal"/>
      <w:lvlText w:val="%1.%2.%3.%4.%5.%6."/>
      <w:lvlJc w:val="left"/>
      <w:pPr>
        <w:ind w:left="1800" w:hanging="1800"/>
      </w:pPr>
      <w:rPr>
        <w:rFonts w:hint="default"/>
        <w:color w:val="1F497D" w:themeColor="text2"/>
      </w:rPr>
    </w:lvl>
    <w:lvl w:ilvl="6">
      <w:start w:val="1"/>
      <w:numFmt w:val="decimal"/>
      <w:lvlText w:val="%1.%2.%3.%4.%5.%6.%7."/>
      <w:lvlJc w:val="left"/>
      <w:pPr>
        <w:ind w:left="2160" w:hanging="2160"/>
      </w:pPr>
      <w:rPr>
        <w:rFonts w:hint="default"/>
        <w:color w:val="1F497D" w:themeColor="text2"/>
      </w:rPr>
    </w:lvl>
    <w:lvl w:ilvl="7">
      <w:start w:val="1"/>
      <w:numFmt w:val="decimal"/>
      <w:lvlText w:val="%1.%2.%3.%4.%5.%6.%7.%8."/>
      <w:lvlJc w:val="left"/>
      <w:pPr>
        <w:ind w:left="2520" w:hanging="2520"/>
      </w:pPr>
      <w:rPr>
        <w:rFonts w:hint="default"/>
        <w:color w:val="1F497D" w:themeColor="text2"/>
      </w:rPr>
    </w:lvl>
    <w:lvl w:ilvl="8">
      <w:start w:val="1"/>
      <w:numFmt w:val="decimal"/>
      <w:lvlText w:val="%1.%2.%3.%4.%5.%6.%7.%8.%9."/>
      <w:lvlJc w:val="left"/>
      <w:pPr>
        <w:ind w:left="2880" w:hanging="2880"/>
      </w:pPr>
      <w:rPr>
        <w:rFonts w:hint="default"/>
        <w:color w:val="1F497D" w:themeColor="text2"/>
      </w:rPr>
    </w:lvl>
  </w:abstractNum>
  <w:abstractNum w:abstractNumId="31" w15:restartNumberingAfterBreak="0">
    <w:nsid w:val="687A69C3"/>
    <w:multiLevelType w:val="multilevel"/>
    <w:tmpl w:val="6430209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69F6506E"/>
    <w:multiLevelType w:val="hybridMultilevel"/>
    <w:tmpl w:val="379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C5C4F"/>
    <w:multiLevelType w:val="hybridMultilevel"/>
    <w:tmpl w:val="FFA4D9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A6459FD"/>
    <w:multiLevelType w:val="hybridMultilevel"/>
    <w:tmpl w:val="0DB41418"/>
    <w:lvl w:ilvl="0" w:tplc="B4E8D0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0648B"/>
    <w:multiLevelType w:val="hybridMultilevel"/>
    <w:tmpl w:val="7E7263DC"/>
    <w:lvl w:ilvl="0" w:tplc="2C16C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E6C1A"/>
    <w:multiLevelType w:val="hybridMultilevel"/>
    <w:tmpl w:val="4186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E25FB"/>
    <w:multiLevelType w:val="multilevel"/>
    <w:tmpl w:val="D51AD20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7DF021F1"/>
    <w:multiLevelType w:val="hybridMultilevel"/>
    <w:tmpl w:val="E328FE74"/>
    <w:lvl w:ilvl="0" w:tplc="CA76C450">
      <w:start w:val="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38"/>
  </w:num>
  <w:num w:numId="10">
    <w:abstractNumId w:val="32"/>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2"/>
    </w:lvlOverride>
  </w:num>
  <w:num w:numId="14">
    <w:abstractNumId w:val="30"/>
  </w:num>
  <w:num w:numId="15">
    <w:abstractNumId w:val="1"/>
  </w:num>
  <w:num w:numId="16">
    <w:abstractNumId w:val="4"/>
  </w:num>
  <w:num w:numId="17">
    <w:abstractNumId w:val="16"/>
  </w:num>
  <w:num w:numId="18">
    <w:abstractNumId w:val="20"/>
  </w:num>
  <w:num w:numId="19">
    <w:abstractNumId w:val="18"/>
  </w:num>
  <w:num w:numId="20">
    <w:abstractNumId w:val="3"/>
  </w:num>
  <w:num w:numId="21">
    <w:abstractNumId w:val="12"/>
  </w:num>
  <w:num w:numId="22">
    <w:abstractNumId w:val="9"/>
  </w:num>
  <w:num w:numId="23">
    <w:abstractNumId w:val="13"/>
  </w:num>
  <w:num w:numId="24">
    <w:abstractNumId w:val="28"/>
  </w:num>
  <w:num w:numId="25">
    <w:abstractNumId w:val="22"/>
  </w:num>
  <w:num w:numId="26">
    <w:abstractNumId w:val="2"/>
  </w:num>
  <w:num w:numId="27">
    <w:abstractNumId w:val="37"/>
  </w:num>
  <w:num w:numId="28">
    <w:abstractNumId w:val="23"/>
  </w:num>
  <w:num w:numId="29">
    <w:abstractNumId w:val="6"/>
  </w:num>
  <w:num w:numId="30">
    <w:abstractNumId w:val="26"/>
  </w:num>
  <w:num w:numId="31">
    <w:abstractNumId w:val="19"/>
  </w:num>
  <w:num w:numId="32">
    <w:abstractNumId w:val="34"/>
  </w:num>
  <w:num w:numId="33">
    <w:abstractNumId w:val="17"/>
  </w:num>
  <w:num w:numId="34">
    <w:abstractNumId w:val="36"/>
  </w:num>
  <w:num w:numId="35">
    <w:abstractNumId w:val="24"/>
  </w:num>
  <w:num w:numId="36">
    <w:abstractNumId w:val="31"/>
  </w:num>
  <w:num w:numId="37">
    <w:abstractNumId w:val="11"/>
  </w:num>
  <w:num w:numId="38">
    <w:abstractNumId w:val="29"/>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8"/>
  </w:num>
  <w:num w:numId="42">
    <w:abstractNumId w:val="10"/>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8F"/>
    <w:rsid w:val="000048A3"/>
    <w:rsid w:val="000117D5"/>
    <w:rsid w:val="000126EF"/>
    <w:rsid w:val="00017F6B"/>
    <w:rsid w:val="000316B5"/>
    <w:rsid w:val="000346C9"/>
    <w:rsid w:val="00036C3C"/>
    <w:rsid w:val="0004198E"/>
    <w:rsid w:val="00050F45"/>
    <w:rsid w:val="000524D0"/>
    <w:rsid w:val="000621A8"/>
    <w:rsid w:val="0006405D"/>
    <w:rsid w:val="00065C44"/>
    <w:rsid w:val="000723E5"/>
    <w:rsid w:val="000733A3"/>
    <w:rsid w:val="000775A3"/>
    <w:rsid w:val="00082DFA"/>
    <w:rsid w:val="00087891"/>
    <w:rsid w:val="000969BC"/>
    <w:rsid w:val="00097B2F"/>
    <w:rsid w:val="000A0271"/>
    <w:rsid w:val="000A7D7A"/>
    <w:rsid w:val="000B6119"/>
    <w:rsid w:val="000C5081"/>
    <w:rsid w:val="000D24F7"/>
    <w:rsid w:val="000D4169"/>
    <w:rsid w:val="000E576F"/>
    <w:rsid w:val="000E6399"/>
    <w:rsid w:val="000F0336"/>
    <w:rsid w:val="000F13D8"/>
    <w:rsid w:val="00105932"/>
    <w:rsid w:val="001151F4"/>
    <w:rsid w:val="00124626"/>
    <w:rsid w:val="00142721"/>
    <w:rsid w:val="00143A3E"/>
    <w:rsid w:val="00150FD8"/>
    <w:rsid w:val="00152DBA"/>
    <w:rsid w:val="00170272"/>
    <w:rsid w:val="00172077"/>
    <w:rsid w:val="00174FA8"/>
    <w:rsid w:val="00181A37"/>
    <w:rsid w:val="00183D00"/>
    <w:rsid w:val="00187108"/>
    <w:rsid w:val="0019083D"/>
    <w:rsid w:val="001942AB"/>
    <w:rsid w:val="00197059"/>
    <w:rsid w:val="001A4DFF"/>
    <w:rsid w:val="001A7F17"/>
    <w:rsid w:val="001B0885"/>
    <w:rsid w:val="001C37C3"/>
    <w:rsid w:val="001C3800"/>
    <w:rsid w:val="001C6A90"/>
    <w:rsid w:val="001D6F88"/>
    <w:rsid w:val="001E619A"/>
    <w:rsid w:val="001F4269"/>
    <w:rsid w:val="00201315"/>
    <w:rsid w:val="00201DB0"/>
    <w:rsid w:val="00205192"/>
    <w:rsid w:val="00212025"/>
    <w:rsid w:val="00215203"/>
    <w:rsid w:val="00230548"/>
    <w:rsid w:val="00231ECA"/>
    <w:rsid w:val="00234AEB"/>
    <w:rsid w:val="0023593C"/>
    <w:rsid w:val="00235AE0"/>
    <w:rsid w:val="0023683E"/>
    <w:rsid w:val="00240489"/>
    <w:rsid w:val="00242FDF"/>
    <w:rsid w:val="00244C96"/>
    <w:rsid w:val="002454F0"/>
    <w:rsid w:val="002461C1"/>
    <w:rsid w:val="00247F37"/>
    <w:rsid w:val="00254E95"/>
    <w:rsid w:val="00273907"/>
    <w:rsid w:val="00286AEF"/>
    <w:rsid w:val="0029230C"/>
    <w:rsid w:val="0029640B"/>
    <w:rsid w:val="00297725"/>
    <w:rsid w:val="002A2B29"/>
    <w:rsid w:val="002A4666"/>
    <w:rsid w:val="002B6E1C"/>
    <w:rsid w:val="002C438D"/>
    <w:rsid w:val="002C7FF0"/>
    <w:rsid w:val="002D3F33"/>
    <w:rsid w:val="002D54D0"/>
    <w:rsid w:val="002E52C6"/>
    <w:rsid w:val="002F3292"/>
    <w:rsid w:val="002F4573"/>
    <w:rsid w:val="002F6E98"/>
    <w:rsid w:val="00305DFC"/>
    <w:rsid w:val="003131B8"/>
    <w:rsid w:val="003165BC"/>
    <w:rsid w:val="00327528"/>
    <w:rsid w:val="00337FDF"/>
    <w:rsid w:val="003558CC"/>
    <w:rsid w:val="00362CF6"/>
    <w:rsid w:val="00366873"/>
    <w:rsid w:val="00374B80"/>
    <w:rsid w:val="00374ECF"/>
    <w:rsid w:val="0038217B"/>
    <w:rsid w:val="0039485E"/>
    <w:rsid w:val="00396C22"/>
    <w:rsid w:val="003A0636"/>
    <w:rsid w:val="003A1A4E"/>
    <w:rsid w:val="003A3ED9"/>
    <w:rsid w:val="003A5ABC"/>
    <w:rsid w:val="003B3E1B"/>
    <w:rsid w:val="003B4E55"/>
    <w:rsid w:val="003C465F"/>
    <w:rsid w:val="003D538F"/>
    <w:rsid w:val="003D6C5C"/>
    <w:rsid w:val="003E7E8B"/>
    <w:rsid w:val="003F23FC"/>
    <w:rsid w:val="003F5585"/>
    <w:rsid w:val="00403336"/>
    <w:rsid w:val="004213D8"/>
    <w:rsid w:val="00424F0B"/>
    <w:rsid w:val="0043440A"/>
    <w:rsid w:val="00434546"/>
    <w:rsid w:val="00437E75"/>
    <w:rsid w:val="00445D71"/>
    <w:rsid w:val="00446653"/>
    <w:rsid w:val="00447472"/>
    <w:rsid w:val="00465B57"/>
    <w:rsid w:val="004742FE"/>
    <w:rsid w:val="00477EB1"/>
    <w:rsid w:val="00483C99"/>
    <w:rsid w:val="00491D2E"/>
    <w:rsid w:val="00493BBA"/>
    <w:rsid w:val="004A5731"/>
    <w:rsid w:val="004B566E"/>
    <w:rsid w:val="004B5A9C"/>
    <w:rsid w:val="004B6BBD"/>
    <w:rsid w:val="004B6DB2"/>
    <w:rsid w:val="004C2549"/>
    <w:rsid w:val="004E152F"/>
    <w:rsid w:val="004E2B80"/>
    <w:rsid w:val="004E49F6"/>
    <w:rsid w:val="004F5D23"/>
    <w:rsid w:val="0050399C"/>
    <w:rsid w:val="00514288"/>
    <w:rsid w:val="00515D00"/>
    <w:rsid w:val="00522C9F"/>
    <w:rsid w:val="00531563"/>
    <w:rsid w:val="00531BE6"/>
    <w:rsid w:val="005332F6"/>
    <w:rsid w:val="005417FF"/>
    <w:rsid w:val="0054613C"/>
    <w:rsid w:val="005532E0"/>
    <w:rsid w:val="00553EC2"/>
    <w:rsid w:val="005560CC"/>
    <w:rsid w:val="0056365D"/>
    <w:rsid w:val="00565F9C"/>
    <w:rsid w:val="00571DB6"/>
    <w:rsid w:val="00573903"/>
    <w:rsid w:val="00573914"/>
    <w:rsid w:val="005855F0"/>
    <w:rsid w:val="00594ACD"/>
    <w:rsid w:val="005979D4"/>
    <w:rsid w:val="005A2594"/>
    <w:rsid w:val="005A2ADA"/>
    <w:rsid w:val="005B201F"/>
    <w:rsid w:val="005B3A7D"/>
    <w:rsid w:val="005C04A2"/>
    <w:rsid w:val="005D1113"/>
    <w:rsid w:val="005D1E75"/>
    <w:rsid w:val="005D4033"/>
    <w:rsid w:val="005E0C08"/>
    <w:rsid w:val="005E44D9"/>
    <w:rsid w:val="005E4DAD"/>
    <w:rsid w:val="006061C6"/>
    <w:rsid w:val="006130BF"/>
    <w:rsid w:val="0064212C"/>
    <w:rsid w:val="00642830"/>
    <w:rsid w:val="00642B6F"/>
    <w:rsid w:val="006457C2"/>
    <w:rsid w:val="0064723D"/>
    <w:rsid w:val="00652FAE"/>
    <w:rsid w:val="006658A2"/>
    <w:rsid w:val="006664FA"/>
    <w:rsid w:val="0067128F"/>
    <w:rsid w:val="0067568F"/>
    <w:rsid w:val="006765CE"/>
    <w:rsid w:val="00684200"/>
    <w:rsid w:val="00690713"/>
    <w:rsid w:val="006A0298"/>
    <w:rsid w:val="006A044D"/>
    <w:rsid w:val="006A7DCB"/>
    <w:rsid w:val="006B138F"/>
    <w:rsid w:val="006B6CCE"/>
    <w:rsid w:val="006C089F"/>
    <w:rsid w:val="006D1744"/>
    <w:rsid w:val="006D6169"/>
    <w:rsid w:val="006D7190"/>
    <w:rsid w:val="006E097C"/>
    <w:rsid w:val="006E45AF"/>
    <w:rsid w:val="006E46EE"/>
    <w:rsid w:val="006E4EC8"/>
    <w:rsid w:val="006E51B0"/>
    <w:rsid w:val="006F09F7"/>
    <w:rsid w:val="006F4F07"/>
    <w:rsid w:val="007028E2"/>
    <w:rsid w:val="00705E9A"/>
    <w:rsid w:val="00713FA8"/>
    <w:rsid w:val="00715650"/>
    <w:rsid w:val="00724B12"/>
    <w:rsid w:val="00725CC7"/>
    <w:rsid w:val="0072797A"/>
    <w:rsid w:val="00727C64"/>
    <w:rsid w:val="0073112E"/>
    <w:rsid w:val="00735DE3"/>
    <w:rsid w:val="00744A60"/>
    <w:rsid w:val="007471B8"/>
    <w:rsid w:val="00753F27"/>
    <w:rsid w:val="00762541"/>
    <w:rsid w:val="0077030D"/>
    <w:rsid w:val="007723DA"/>
    <w:rsid w:val="00775623"/>
    <w:rsid w:val="00776FEA"/>
    <w:rsid w:val="00781DFA"/>
    <w:rsid w:val="00786E12"/>
    <w:rsid w:val="007962C0"/>
    <w:rsid w:val="007A72FD"/>
    <w:rsid w:val="007B003D"/>
    <w:rsid w:val="007B6D83"/>
    <w:rsid w:val="007C0A45"/>
    <w:rsid w:val="007C35A9"/>
    <w:rsid w:val="007C46FA"/>
    <w:rsid w:val="007C48D5"/>
    <w:rsid w:val="007C70FF"/>
    <w:rsid w:val="007D2430"/>
    <w:rsid w:val="007D495A"/>
    <w:rsid w:val="007D575B"/>
    <w:rsid w:val="007D5ECB"/>
    <w:rsid w:val="007E2FFA"/>
    <w:rsid w:val="007E5C09"/>
    <w:rsid w:val="007E75A9"/>
    <w:rsid w:val="007F4067"/>
    <w:rsid w:val="00801665"/>
    <w:rsid w:val="00803621"/>
    <w:rsid w:val="008145B4"/>
    <w:rsid w:val="0081562C"/>
    <w:rsid w:val="008240D0"/>
    <w:rsid w:val="0082415F"/>
    <w:rsid w:val="00825300"/>
    <w:rsid w:val="00830EAD"/>
    <w:rsid w:val="00833777"/>
    <w:rsid w:val="00837C51"/>
    <w:rsid w:val="00842EE6"/>
    <w:rsid w:val="008456F5"/>
    <w:rsid w:val="00846EBA"/>
    <w:rsid w:val="008510C2"/>
    <w:rsid w:val="00852FB0"/>
    <w:rsid w:val="00854C29"/>
    <w:rsid w:val="008637A5"/>
    <w:rsid w:val="00863A03"/>
    <w:rsid w:val="00864CDB"/>
    <w:rsid w:val="00877A4B"/>
    <w:rsid w:val="008800DE"/>
    <w:rsid w:val="00880628"/>
    <w:rsid w:val="00882F55"/>
    <w:rsid w:val="008927FF"/>
    <w:rsid w:val="008A36A8"/>
    <w:rsid w:val="008A3F66"/>
    <w:rsid w:val="008A4F98"/>
    <w:rsid w:val="008B01A2"/>
    <w:rsid w:val="008B0230"/>
    <w:rsid w:val="008B5A5A"/>
    <w:rsid w:val="008B64FE"/>
    <w:rsid w:val="008C5872"/>
    <w:rsid w:val="008C7E8F"/>
    <w:rsid w:val="008E5BD5"/>
    <w:rsid w:val="008F5046"/>
    <w:rsid w:val="009018E1"/>
    <w:rsid w:val="00905A20"/>
    <w:rsid w:val="00926BFE"/>
    <w:rsid w:val="0092703B"/>
    <w:rsid w:val="00940646"/>
    <w:rsid w:val="009429BE"/>
    <w:rsid w:val="009434EB"/>
    <w:rsid w:val="0095249E"/>
    <w:rsid w:val="009648A5"/>
    <w:rsid w:val="00966E75"/>
    <w:rsid w:val="00967EF1"/>
    <w:rsid w:val="00970990"/>
    <w:rsid w:val="0098295A"/>
    <w:rsid w:val="00982A4D"/>
    <w:rsid w:val="00984952"/>
    <w:rsid w:val="00986B73"/>
    <w:rsid w:val="00990CAA"/>
    <w:rsid w:val="00994BD0"/>
    <w:rsid w:val="009956C6"/>
    <w:rsid w:val="009A4250"/>
    <w:rsid w:val="009A4C32"/>
    <w:rsid w:val="009B73F0"/>
    <w:rsid w:val="009C0DFF"/>
    <w:rsid w:val="009C1314"/>
    <w:rsid w:val="009D1643"/>
    <w:rsid w:val="009D1965"/>
    <w:rsid w:val="009D342E"/>
    <w:rsid w:val="009D41C4"/>
    <w:rsid w:val="009D61BC"/>
    <w:rsid w:val="009E2492"/>
    <w:rsid w:val="00A00F37"/>
    <w:rsid w:val="00A048CE"/>
    <w:rsid w:val="00A0776D"/>
    <w:rsid w:val="00A11474"/>
    <w:rsid w:val="00A2458C"/>
    <w:rsid w:val="00A27B14"/>
    <w:rsid w:val="00A34F9A"/>
    <w:rsid w:val="00A36517"/>
    <w:rsid w:val="00A3787E"/>
    <w:rsid w:val="00A415D3"/>
    <w:rsid w:val="00A41FD1"/>
    <w:rsid w:val="00A5133E"/>
    <w:rsid w:val="00A53AAC"/>
    <w:rsid w:val="00A61430"/>
    <w:rsid w:val="00A67CFA"/>
    <w:rsid w:val="00A73561"/>
    <w:rsid w:val="00A75702"/>
    <w:rsid w:val="00A8337F"/>
    <w:rsid w:val="00A87ABA"/>
    <w:rsid w:val="00A96053"/>
    <w:rsid w:val="00AA2AF2"/>
    <w:rsid w:val="00AA4CAE"/>
    <w:rsid w:val="00AA6AB0"/>
    <w:rsid w:val="00AB3225"/>
    <w:rsid w:val="00AC4755"/>
    <w:rsid w:val="00AD2611"/>
    <w:rsid w:val="00AD5542"/>
    <w:rsid w:val="00AE139E"/>
    <w:rsid w:val="00AE52AC"/>
    <w:rsid w:val="00AF34A6"/>
    <w:rsid w:val="00B04A5C"/>
    <w:rsid w:val="00B101B0"/>
    <w:rsid w:val="00B20433"/>
    <w:rsid w:val="00B2061E"/>
    <w:rsid w:val="00B243F8"/>
    <w:rsid w:val="00B27449"/>
    <w:rsid w:val="00B3162C"/>
    <w:rsid w:val="00B326EE"/>
    <w:rsid w:val="00B40390"/>
    <w:rsid w:val="00B50A5E"/>
    <w:rsid w:val="00B56714"/>
    <w:rsid w:val="00B61CF3"/>
    <w:rsid w:val="00B629A0"/>
    <w:rsid w:val="00B64712"/>
    <w:rsid w:val="00B653AD"/>
    <w:rsid w:val="00B65CDB"/>
    <w:rsid w:val="00B7100C"/>
    <w:rsid w:val="00B735DE"/>
    <w:rsid w:val="00B75902"/>
    <w:rsid w:val="00B77A63"/>
    <w:rsid w:val="00B835C5"/>
    <w:rsid w:val="00B84C71"/>
    <w:rsid w:val="00B877A5"/>
    <w:rsid w:val="00B92998"/>
    <w:rsid w:val="00BB0F05"/>
    <w:rsid w:val="00BB39FA"/>
    <w:rsid w:val="00BC22C3"/>
    <w:rsid w:val="00BC57D6"/>
    <w:rsid w:val="00BD3CF2"/>
    <w:rsid w:val="00BE1535"/>
    <w:rsid w:val="00BE2DDE"/>
    <w:rsid w:val="00BF4CE5"/>
    <w:rsid w:val="00BF5E4D"/>
    <w:rsid w:val="00C00E7E"/>
    <w:rsid w:val="00C10B0A"/>
    <w:rsid w:val="00C14803"/>
    <w:rsid w:val="00C17298"/>
    <w:rsid w:val="00C20366"/>
    <w:rsid w:val="00C467D3"/>
    <w:rsid w:val="00C5236E"/>
    <w:rsid w:val="00C70177"/>
    <w:rsid w:val="00C774B7"/>
    <w:rsid w:val="00C8206A"/>
    <w:rsid w:val="00C858BA"/>
    <w:rsid w:val="00C90ABC"/>
    <w:rsid w:val="00C97612"/>
    <w:rsid w:val="00CA6913"/>
    <w:rsid w:val="00CB2B4F"/>
    <w:rsid w:val="00CB5AE3"/>
    <w:rsid w:val="00CB74A7"/>
    <w:rsid w:val="00CC0A5B"/>
    <w:rsid w:val="00CD0572"/>
    <w:rsid w:val="00CD4F79"/>
    <w:rsid w:val="00CE0CB7"/>
    <w:rsid w:val="00CE34E2"/>
    <w:rsid w:val="00CE694E"/>
    <w:rsid w:val="00CE75AC"/>
    <w:rsid w:val="00CF0B6A"/>
    <w:rsid w:val="00CF385E"/>
    <w:rsid w:val="00CF4D6D"/>
    <w:rsid w:val="00CF58B7"/>
    <w:rsid w:val="00D016C2"/>
    <w:rsid w:val="00D027AE"/>
    <w:rsid w:val="00D04D1B"/>
    <w:rsid w:val="00D16BF4"/>
    <w:rsid w:val="00D442C6"/>
    <w:rsid w:val="00D52FD6"/>
    <w:rsid w:val="00D5643F"/>
    <w:rsid w:val="00D63874"/>
    <w:rsid w:val="00D663DB"/>
    <w:rsid w:val="00D711AC"/>
    <w:rsid w:val="00D76328"/>
    <w:rsid w:val="00D85EC3"/>
    <w:rsid w:val="00D90016"/>
    <w:rsid w:val="00D91B7E"/>
    <w:rsid w:val="00D921C2"/>
    <w:rsid w:val="00DA0469"/>
    <w:rsid w:val="00DA19A2"/>
    <w:rsid w:val="00DA226A"/>
    <w:rsid w:val="00DA3C93"/>
    <w:rsid w:val="00DB24D3"/>
    <w:rsid w:val="00DC71ED"/>
    <w:rsid w:val="00DE1549"/>
    <w:rsid w:val="00DE3363"/>
    <w:rsid w:val="00DE5403"/>
    <w:rsid w:val="00E01586"/>
    <w:rsid w:val="00E02017"/>
    <w:rsid w:val="00E0317A"/>
    <w:rsid w:val="00E10614"/>
    <w:rsid w:val="00E126D0"/>
    <w:rsid w:val="00E22CC0"/>
    <w:rsid w:val="00E25D97"/>
    <w:rsid w:val="00E33100"/>
    <w:rsid w:val="00E37AC5"/>
    <w:rsid w:val="00E44CA9"/>
    <w:rsid w:val="00E47DA6"/>
    <w:rsid w:val="00E5028D"/>
    <w:rsid w:val="00E5340B"/>
    <w:rsid w:val="00E61F40"/>
    <w:rsid w:val="00E708DF"/>
    <w:rsid w:val="00E70913"/>
    <w:rsid w:val="00E7152B"/>
    <w:rsid w:val="00E75E9A"/>
    <w:rsid w:val="00E81366"/>
    <w:rsid w:val="00E94547"/>
    <w:rsid w:val="00E96472"/>
    <w:rsid w:val="00EA1FB3"/>
    <w:rsid w:val="00EA3202"/>
    <w:rsid w:val="00EA4817"/>
    <w:rsid w:val="00EB28B2"/>
    <w:rsid w:val="00EC6670"/>
    <w:rsid w:val="00EE163A"/>
    <w:rsid w:val="00EE21F9"/>
    <w:rsid w:val="00EE2A97"/>
    <w:rsid w:val="00EE7B76"/>
    <w:rsid w:val="00EF2E9D"/>
    <w:rsid w:val="00EF3F29"/>
    <w:rsid w:val="00EF5E4D"/>
    <w:rsid w:val="00EF70AE"/>
    <w:rsid w:val="00F007B2"/>
    <w:rsid w:val="00F0622D"/>
    <w:rsid w:val="00F202DB"/>
    <w:rsid w:val="00F22295"/>
    <w:rsid w:val="00F302F7"/>
    <w:rsid w:val="00F40346"/>
    <w:rsid w:val="00F40A22"/>
    <w:rsid w:val="00F46D32"/>
    <w:rsid w:val="00F51D3B"/>
    <w:rsid w:val="00F56369"/>
    <w:rsid w:val="00F56867"/>
    <w:rsid w:val="00F61FA2"/>
    <w:rsid w:val="00F72C3A"/>
    <w:rsid w:val="00F76745"/>
    <w:rsid w:val="00F779B3"/>
    <w:rsid w:val="00F90203"/>
    <w:rsid w:val="00FA10EC"/>
    <w:rsid w:val="00FA2CF5"/>
    <w:rsid w:val="00FA4710"/>
    <w:rsid w:val="00FA7D62"/>
    <w:rsid w:val="00FB44C7"/>
    <w:rsid w:val="00FC6880"/>
    <w:rsid w:val="00FC71F4"/>
    <w:rsid w:val="00FD0F8B"/>
    <w:rsid w:val="00FD1073"/>
    <w:rsid w:val="00FD4BF0"/>
    <w:rsid w:val="00FF2C29"/>
    <w:rsid w:val="00FF58ED"/>
    <w:rsid w:val="19215735"/>
    <w:rsid w:val="37B67BA1"/>
    <w:rsid w:val="676434E0"/>
    <w:rsid w:val="685E5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1987A8-EBF0-42CF-9BB2-C4A3F14C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F88"/>
    <w:rPr>
      <w:rFonts w:asciiTheme="minorHAnsi" w:eastAsiaTheme="minorEastAsia" w:hAnsiTheme="minorHAnsi" w:cstheme="minorBidi"/>
      <w:sz w:val="22"/>
      <w:szCs w:val="22"/>
    </w:rPr>
  </w:style>
  <w:style w:type="paragraph" w:styleId="1">
    <w:name w:val="heading 1"/>
    <w:basedOn w:val="a"/>
    <w:next w:val="a"/>
    <w:link w:val="1Char"/>
    <w:uiPriority w:val="9"/>
    <w:qFormat/>
    <w:rsid w:val="001D6F88"/>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D6F88"/>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D6F88"/>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D6F88"/>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D6F88"/>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D6F88"/>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D6F88"/>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D6F88"/>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D6F88"/>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D6F88"/>
    <w:pPr>
      <w:spacing w:after="0" w:line="240" w:lineRule="auto"/>
    </w:pPr>
    <w:rPr>
      <w:rFonts w:ascii="Tahoma" w:hAnsi="Tahoma" w:cs="Tahoma"/>
      <w:sz w:val="16"/>
      <w:szCs w:val="16"/>
    </w:rPr>
  </w:style>
  <w:style w:type="paragraph" w:styleId="a4">
    <w:name w:val="caption"/>
    <w:basedOn w:val="a"/>
    <w:next w:val="a"/>
    <w:uiPriority w:val="35"/>
    <w:unhideWhenUsed/>
    <w:qFormat/>
    <w:rsid w:val="001D6F88"/>
    <w:pPr>
      <w:spacing w:line="240" w:lineRule="auto"/>
    </w:pPr>
    <w:rPr>
      <w:b/>
      <w:bCs/>
      <w:color w:val="4F81BD" w:themeColor="accent1"/>
      <w:sz w:val="18"/>
      <w:szCs w:val="18"/>
    </w:rPr>
  </w:style>
  <w:style w:type="paragraph" w:styleId="10">
    <w:name w:val="toc 1"/>
    <w:basedOn w:val="a"/>
    <w:next w:val="a"/>
    <w:uiPriority w:val="39"/>
    <w:unhideWhenUsed/>
    <w:rsid w:val="001D6F88"/>
    <w:pPr>
      <w:spacing w:after="100"/>
    </w:pPr>
  </w:style>
  <w:style w:type="paragraph" w:styleId="20">
    <w:name w:val="toc 2"/>
    <w:basedOn w:val="a"/>
    <w:next w:val="a"/>
    <w:uiPriority w:val="39"/>
    <w:unhideWhenUsed/>
    <w:rsid w:val="001D6F88"/>
    <w:pPr>
      <w:spacing w:after="100"/>
      <w:ind w:left="220"/>
    </w:pPr>
  </w:style>
  <w:style w:type="paragraph" w:styleId="30">
    <w:name w:val="toc 3"/>
    <w:basedOn w:val="a"/>
    <w:next w:val="a"/>
    <w:uiPriority w:val="39"/>
    <w:unhideWhenUsed/>
    <w:rsid w:val="001D6F88"/>
    <w:pPr>
      <w:spacing w:after="100"/>
      <w:ind w:left="440"/>
    </w:pPr>
  </w:style>
  <w:style w:type="paragraph" w:styleId="40">
    <w:name w:val="toc 4"/>
    <w:basedOn w:val="a"/>
    <w:next w:val="a"/>
    <w:uiPriority w:val="39"/>
    <w:unhideWhenUsed/>
    <w:rsid w:val="001D6F88"/>
    <w:pPr>
      <w:spacing w:after="100"/>
      <w:ind w:left="660"/>
    </w:pPr>
  </w:style>
  <w:style w:type="character" w:styleId="-">
    <w:name w:val="Hyperlink"/>
    <w:basedOn w:val="a0"/>
    <w:uiPriority w:val="99"/>
    <w:unhideWhenUsed/>
    <w:rsid w:val="001D6F88"/>
    <w:rPr>
      <w:color w:val="0000FF" w:themeColor="hyperlink"/>
      <w:u w:val="single"/>
    </w:rPr>
  </w:style>
  <w:style w:type="table" w:styleId="2-1">
    <w:name w:val="Medium List 2 Accent 1"/>
    <w:basedOn w:val="a1"/>
    <w:uiPriority w:val="66"/>
    <w:rsid w:val="001D6F88"/>
    <w:pPr>
      <w:spacing w:after="0" w:line="240" w:lineRule="auto"/>
    </w:pPr>
    <w:rPr>
      <w:rFonts w:asciiTheme="majorHAnsi" w:eastAsiaTheme="majorEastAsia" w:hAnsiTheme="majorHAnsi" w:cstheme="majorBidi"/>
      <w:color w:val="000000" w:themeColor="text1"/>
      <w:lang w:val="en-US" w:eastAsia="en-US" w:bidi="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Char">
    <w:name w:val="Επικεφαλίδα 1 Char"/>
    <w:basedOn w:val="a0"/>
    <w:link w:val="1"/>
    <w:uiPriority w:val="9"/>
    <w:rsid w:val="001D6F8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D6F88"/>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1D6F88"/>
    <w:rPr>
      <w:rFonts w:asciiTheme="majorHAnsi" w:eastAsiaTheme="majorEastAsia" w:hAnsiTheme="majorHAnsi" w:cstheme="majorBidi"/>
      <w:b/>
      <w:bCs/>
      <w:color w:val="4F81BD" w:themeColor="accent1"/>
      <w:sz w:val="22"/>
      <w:szCs w:val="22"/>
    </w:rPr>
  </w:style>
  <w:style w:type="character" w:customStyle="1" w:styleId="4Char">
    <w:name w:val="Επικεφαλίδα 4 Char"/>
    <w:basedOn w:val="a0"/>
    <w:link w:val="4"/>
    <w:uiPriority w:val="99"/>
    <w:rsid w:val="001D6F88"/>
    <w:rPr>
      <w:rFonts w:asciiTheme="majorHAnsi" w:eastAsiaTheme="majorEastAsia" w:hAnsiTheme="majorHAnsi" w:cstheme="majorBidi"/>
      <w:b/>
      <w:bCs/>
      <w:i/>
      <w:iCs/>
      <w:color w:val="4F81BD" w:themeColor="accent1"/>
      <w:sz w:val="22"/>
      <w:szCs w:val="22"/>
    </w:rPr>
  </w:style>
  <w:style w:type="character" w:customStyle="1" w:styleId="5Char">
    <w:name w:val="Επικεφαλίδα 5 Char"/>
    <w:basedOn w:val="a0"/>
    <w:link w:val="5"/>
    <w:uiPriority w:val="9"/>
    <w:semiHidden/>
    <w:rsid w:val="001D6F88"/>
    <w:rPr>
      <w:rFonts w:asciiTheme="majorHAnsi" w:eastAsiaTheme="majorEastAsia" w:hAnsiTheme="majorHAnsi" w:cstheme="majorBidi"/>
      <w:color w:val="243F60" w:themeColor="accent1" w:themeShade="7F"/>
      <w:sz w:val="22"/>
      <w:szCs w:val="22"/>
    </w:rPr>
  </w:style>
  <w:style w:type="character" w:customStyle="1" w:styleId="6Char">
    <w:name w:val="Επικεφαλίδα 6 Char"/>
    <w:basedOn w:val="a0"/>
    <w:link w:val="6"/>
    <w:uiPriority w:val="9"/>
    <w:semiHidden/>
    <w:rsid w:val="001D6F88"/>
    <w:rPr>
      <w:rFonts w:asciiTheme="majorHAnsi" w:eastAsiaTheme="majorEastAsia" w:hAnsiTheme="majorHAnsi" w:cstheme="majorBidi"/>
      <w:i/>
      <w:iCs/>
      <w:color w:val="243F60" w:themeColor="accent1" w:themeShade="7F"/>
      <w:sz w:val="22"/>
      <w:szCs w:val="22"/>
    </w:rPr>
  </w:style>
  <w:style w:type="character" w:customStyle="1" w:styleId="7Char">
    <w:name w:val="Επικεφαλίδα 7 Char"/>
    <w:basedOn w:val="a0"/>
    <w:link w:val="7"/>
    <w:uiPriority w:val="9"/>
    <w:semiHidden/>
    <w:rsid w:val="001D6F88"/>
    <w:rPr>
      <w:rFonts w:asciiTheme="majorHAnsi" w:eastAsiaTheme="majorEastAsia" w:hAnsiTheme="majorHAnsi" w:cstheme="majorBidi"/>
      <w:i/>
      <w:iCs/>
      <w:color w:val="404040" w:themeColor="text1" w:themeTint="BF"/>
      <w:sz w:val="22"/>
      <w:szCs w:val="22"/>
    </w:rPr>
  </w:style>
  <w:style w:type="character" w:customStyle="1" w:styleId="8Char">
    <w:name w:val="Επικεφαλίδα 8 Char"/>
    <w:basedOn w:val="a0"/>
    <w:link w:val="8"/>
    <w:uiPriority w:val="9"/>
    <w:semiHidden/>
    <w:rsid w:val="001D6F88"/>
    <w:rPr>
      <w:rFonts w:asciiTheme="majorHAnsi" w:eastAsiaTheme="majorEastAsia" w:hAnsiTheme="majorHAnsi" w:cstheme="majorBidi"/>
      <w:color w:val="404040" w:themeColor="text1" w:themeTint="BF"/>
    </w:rPr>
  </w:style>
  <w:style w:type="character" w:customStyle="1" w:styleId="9Char">
    <w:name w:val="Επικεφαλίδα 9 Char"/>
    <w:basedOn w:val="a0"/>
    <w:link w:val="9"/>
    <w:uiPriority w:val="9"/>
    <w:semiHidden/>
    <w:rsid w:val="001D6F88"/>
    <w:rPr>
      <w:rFonts w:asciiTheme="majorHAnsi" w:eastAsiaTheme="majorEastAsia" w:hAnsiTheme="majorHAnsi" w:cstheme="majorBidi"/>
      <w:i/>
      <w:iCs/>
      <w:color w:val="404040" w:themeColor="text1" w:themeTint="BF"/>
    </w:rPr>
  </w:style>
  <w:style w:type="paragraph" w:customStyle="1" w:styleId="TOCHeading1">
    <w:name w:val="TOC Heading1"/>
    <w:basedOn w:val="1"/>
    <w:next w:val="a"/>
    <w:uiPriority w:val="39"/>
    <w:semiHidden/>
    <w:unhideWhenUsed/>
    <w:qFormat/>
    <w:rsid w:val="001D6F88"/>
    <w:pPr>
      <w:numPr>
        <w:numId w:val="0"/>
      </w:numPr>
      <w:outlineLvl w:val="9"/>
    </w:pPr>
    <w:rPr>
      <w:lang w:val="en-US" w:eastAsia="en-US"/>
    </w:rPr>
  </w:style>
  <w:style w:type="character" w:customStyle="1" w:styleId="Char">
    <w:name w:val="Κείμενο πλαισίου Char"/>
    <w:basedOn w:val="a0"/>
    <w:link w:val="a3"/>
    <w:uiPriority w:val="99"/>
    <w:semiHidden/>
    <w:rsid w:val="001D6F88"/>
    <w:rPr>
      <w:rFonts w:ascii="Tahoma" w:hAnsi="Tahoma" w:cs="Tahoma"/>
      <w:sz w:val="16"/>
      <w:szCs w:val="16"/>
    </w:rPr>
  </w:style>
  <w:style w:type="paragraph" w:styleId="a5">
    <w:name w:val="table of figures"/>
    <w:basedOn w:val="a"/>
    <w:next w:val="a"/>
    <w:uiPriority w:val="99"/>
    <w:unhideWhenUsed/>
    <w:rsid w:val="00E126D0"/>
    <w:pPr>
      <w:spacing w:after="0"/>
    </w:pPr>
  </w:style>
  <w:style w:type="paragraph" w:styleId="a6">
    <w:name w:val="header"/>
    <w:basedOn w:val="a"/>
    <w:link w:val="Char0"/>
    <w:unhideWhenUsed/>
    <w:rsid w:val="00A36517"/>
    <w:pPr>
      <w:tabs>
        <w:tab w:val="center" w:pos="4320"/>
        <w:tab w:val="right" w:pos="8640"/>
      </w:tabs>
      <w:jc w:val="both"/>
    </w:pPr>
    <w:rPr>
      <w:rFonts w:ascii="Georgia" w:eastAsia="Georgia" w:hAnsi="Georgia" w:cs="Georgia"/>
      <w:sz w:val="20"/>
      <w:szCs w:val="20"/>
      <w:lang w:val="en-US" w:eastAsia="ja-JP"/>
    </w:rPr>
  </w:style>
  <w:style w:type="character" w:customStyle="1" w:styleId="Char0">
    <w:name w:val="Κεφαλίδα Char"/>
    <w:basedOn w:val="a0"/>
    <w:link w:val="a6"/>
    <w:rsid w:val="00A36517"/>
    <w:rPr>
      <w:rFonts w:ascii="Georgia" w:eastAsia="Georgia" w:hAnsi="Georgia" w:cs="Georgia"/>
      <w:lang w:val="en-US" w:eastAsia="ja-JP"/>
    </w:rPr>
  </w:style>
  <w:style w:type="paragraph" w:styleId="a7">
    <w:name w:val="No Spacing"/>
    <w:basedOn w:val="a"/>
    <w:uiPriority w:val="1"/>
    <w:qFormat/>
    <w:rsid w:val="00A36517"/>
    <w:pPr>
      <w:spacing w:after="0" w:line="240" w:lineRule="auto"/>
      <w:jc w:val="both"/>
    </w:pPr>
    <w:rPr>
      <w:rFonts w:ascii="Georgia" w:eastAsia="Georgia" w:hAnsi="Georgia" w:cs="Georgia"/>
      <w:sz w:val="20"/>
      <w:szCs w:val="32"/>
      <w:lang w:val="en-US" w:eastAsia="ja-JP"/>
    </w:rPr>
  </w:style>
  <w:style w:type="paragraph" w:styleId="a8">
    <w:name w:val="footer"/>
    <w:basedOn w:val="a"/>
    <w:link w:val="Char1"/>
    <w:uiPriority w:val="99"/>
    <w:semiHidden/>
    <w:unhideWhenUsed/>
    <w:rsid w:val="00A36517"/>
    <w:pPr>
      <w:tabs>
        <w:tab w:val="center" w:pos="4153"/>
        <w:tab w:val="right" w:pos="8306"/>
      </w:tabs>
      <w:spacing w:after="0" w:line="240" w:lineRule="auto"/>
    </w:pPr>
  </w:style>
  <w:style w:type="character" w:customStyle="1" w:styleId="Char1">
    <w:name w:val="Υποσέλιδο Char"/>
    <w:basedOn w:val="a0"/>
    <w:link w:val="a8"/>
    <w:uiPriority w:val="99"/>
    <w:semiHidden/>
    <w:rsid w:val="00A36517"/>
    <w:rPr>
      <w:rFonts w:asciiTheme="minorHAnsi" w:eastAsiaTheme="minorEastAsia" w:hAnsiTheme="minorHAnsi" w:cstheme="minorBidi"/>
      <w:sz w:val="22"/>
      <w:szCs w:val="22"/>
    </w:rPr>
  </w:style>
  <w:style w:type="table" w:styleId="a9">
    <w:name w:val="Table Grid"/>
    <w:basedOn w:val="a1"/>
    <w:uiPriority w:val="59"/>
    <w:rsid w:val="002A2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a1"/>
    <w:uiPriority w:val="62"/>
    <w:rsid w:val="002A2B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harCharCharCharCharCharCharCharCharCharCharCharChar">
    <w:name w:val="Знак Знак Char Char Char Char Char Char Char Char Char Char Char Char Char"/>
    <w:basedOn w:val="a"/>
    <w:rsid w:val="00230548"/>
    <w:pPr>
      <w:spacing w:after="160" w:line="240" w:lineRule="exact"/>
    </w:pPr>
    <w:rPr>
      <w:rFonts w:ascii="Tahoma" w:eastAsia="Times New Roman" w:hAnsi="Tahoma" w:cs="Tahoma"/>
      <w:sz w:val="20"/>
      <w:szCs w:val="20"/>
      <w:lang w:val="en-US" w:eastAsia="en-US"/>
    </w:rPr>
  </w:style>
  <w:style w:type="paragraph" w:styleId="aa">
    <w:name w:val="List Paragraph"/>
    <w:basedOn w:val="a"/>
    <w:uiPriority w:val="34"/>
    <w:qFormat/>
    <w:rsid w:val="00A75702"/>
    <w:pPr>
      <w:spacing w:after="0" w:line="240" w:lineRule="auto"/>
      <w:ind w:left="720"/>
      <w:contextualSpacing/>
    </w:pPr>
    <w:rPr>
      <w:rFonts w:ascii="Times New Roman" w:eastAsia="Times New Roman" w:hAnsi="Times New Roman" w:cs="Times New Roman"/>
      <w:sz w:val="20"/>
      <w:szCs w:val="20"/>
    </w:rPr>
  </w:style>
  <w:style w:type="paragraph" w:styleId="Web">
    <w:name w:val="Normal (Web)"/>
    <w:aliases w:val="Char"/>
    <w:basedOn w:val="a"/>
    <w:link w:val="WebChar"/>
    <w:uiPriority w:val="99"/>
    <w:rsid w:val="00A75702"/>
    <w:pPr>
      <w:spacing w:before="100" w:beforeAutospacing="1" w:after="100" w:afterAutospacing="1" w:line="240" w:lineRule="auto"/>
    </w:pPr>
    <w:rPr>
      <w:rFonts w:ascii="Arial" w:eastAsia="Times New Roman" w:hAnsi="Arial" w:cs="Arial"/>
      <w:sz w:val="18"/>
      <w:szCs w:val="18"/>
      <w:lang w:val="en-US" w:eastAsia="en-US"/>
    </w:rPr>
  </w:style>
  <w:style w:type="character" w:customStyle="1" w:styleId="WebChar">
    <w:name w:val="Κανονικό (Web) Char"/>
    <w:aliases w:val="Char Char"/>
    <w:basedOn w:val="a0"/>
    <w:link w:val="Web"/>
    <w:uiPriority w:val="99"/>
    <w:locked/>
    <w:rsid w:val="00A75702"/>
    <w:rPr>
      <w:rFonts w:ascii="Arial" w:eastAsia="Times New Roman" w:hAnsi="Arial" w:cs="Arial"/>
      <w:sz w:val="18"/>
      <w:szCs w:val="18"/>
      <w:lang w:val="en-US" w:eastAsia="en-US"/>
    </w:rPr>
  </w:style>
  <w:style w:type="character" w:styleId="-0">
    <w:name w:val="FollowedHyperlink"/>
    <w:basedOn w:val="a0"/>
    <w:uiPriority w:val="99"/>
    <w:semiHidden/>
    <w:unhideWhenUsed/>
    <w:rsid w:val="00A75702"/>
    <w:rPr>
      <w:color w:val="800080" w:themeColor="followedHyperlink"/>
      <w:u w:val="single"/>
    </w:rPr>
  </w:style>
  <w:style w:type="character" w:customStyle="1" w:styleId="Para-2Char">
    <w:name w:val="Para-2 Char"/>
    <w:basedOn w:val="a0"/>
    <w:link w:val="Para-2"/>
    <w:locked/>
    <w:rsid w:val="00801665"/>
    <w:rPr>
      <w:rFonts w:ascii="Arial" w:hAnsi="Arial" w:cs="Arial"/>
      <w:sz w:val="18"/>
    </w:rPr>
  </w:style>
  <w:style w:type="paragraph" w:customStyle="1" w:styleId="Para-2">
    <w:name w:val="Para-2"/>
    <w:link w:val="Para-2Char"/>
    <w:rsid w:val="00801665"/>
    <w:pPr>
      <w:widowControl w:val="0"/>
      <w:tabs>
        <w:tab w:val="left" w:pos="284"/>
        <w:tab w:val="left" w:pos="357"/>
      </w:tabs>
      <w:suppressAutoHyphens/>
      <w:spacing w:before="60" w:after="0" w:line="240" w:lineRule="auto"/>
      <w:ind w:firstLine="284"/>
      <w:jc w:val="both"/>
    </w:pPr>
    <w:rPr>
      <w:rFonts w:ascii="Arial" w:hAnsi="Arial" w:cs="Arial"/>
      <w:sz w:val="18"/>
    </w:rPr>
  </w:style>
  <w:style w:type="paragraph" w:styleId="ab">
    <w:name w:val="footnote text"/>
    <w:basedOn w:val="a"/>
    <w:link w:val="Char2"/>
    <w:uiPriority w:val="99"/>
    <w:semiHidden/>
    <w:rsid w:val="00C20366"/>
    <w:pPr>
      <w:spacing w:after="0" w:line="240" w:lineRule="auto"/>
    </w:pPr>
    <w:rPr>
      <w:rFonts w:ascii="Times New Roman" w:eastAsia="Times New Roman" w:hAnsi="Times New Roman" w:cs="Times New Roman"/>
      <w:sz w:val="20"/>
      <w:szCs w:val="20"/>
    </w:rPr>
  </w:style>
  <w:style w:type="character" w:customStyle="1" w:styleId="Char2">
    <w:name w:val="Κείμενο υποσημείωσης Char"/>
    <w:basedOn w:val="a0"/>
    <w:link w:val="ab"/>
    <w:uiPriority w:val="99"/>
    <w:semiHidden/>
    <w:rsid w:val="00C20366"/>
    <w:rPr>
      <w:rFonts w:eastAsia="Times New Roman"/>
    </w:rPr>
  </w:style>
  <w:style w:type="character" w:styleId="ac">
    <w:name w:val="footnote reference"/>
    <w:basedOn w:val="a0"/>
    <w:uiPriority w:val="99"/>
    <w:semiHidden/>
    <w:rsid w:val="00C20366"/>
    <w:rPr>
      <w:vertAlign w:val="superscript"/>
    </w:rPr>
  </w:style>
  <w:style w:type="character" w:styleId="ad">
    <w:name w:val="Placeholder Text"/>
    <w:basedOn w:val="a0"/>
    <w:uiPriority w:val="99"/>
    <w:unhideWhenUsed/>
    <w:rsid w:val="0029640B"/>
    <w:rPr>
      <w:color w:val="808080"/>
    </w:rPr>
  </w:style>
  <w:style w:type="paragraph" w:customStyle="1" w:styleId="Default">
    <w:name w:val="Default"/>
    <w:uiPriority w:val="99"/>
    <w:rsid w:val="00E8136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2">
    <w:name w:val="Body2"/>
    <w:basedOn w:val="a"/>
    <w:uiPriority w:val="99"/>
    <w:rsid w:val="00E81366"/>
    <w:pPr>
      <w:keepLines/>
      <w:spacing w:before="60" w:after="60" w:line="240" w:lineRule="auto"/>
      <w:ind w:left="1080"/>
    </w:pPr>
    <w:rPr>
      <w:rFonts w:ascii="Helvetica" w:eastAsia="Times New Roman" w:hAnsi="Helvetica" w:cs="Helvetica"/>
      <w:sz w:val="24"/>
      <w:szCs w:val="24"/>
      <w:lang w:val="en-US"/>
    </w:rPr>
  </w:style>
  <w:style w:type="paragraph" w:styleId="ae">
    <w:name w:val="Title"/>
    <w:basedOn w:val="a"/>
    <w:next w:val="a"/>
    <w:link w:val="Char3"/>
    <w:uiPriority w:val="10"/>
    <w:qFormat/>
    <w:rsid w:val="00652F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3">
    <w:name w:val="Τίτλος Char"/>
    <w:basedOn w:val="a0"/>
    <w:link w:val="ae"/>
    <w:uiPriority w:val="10"/>
    <w:rsid w:val="00652F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5159">
      <w:bodyDiv w:val="1"/>
      <w:marLeft w:val="0"/>
      <w:marRight w:val="0"/>
      <w:marTop w:val="0"/>
      <w:marBottom w:val="0"/>
      <w:divBdr>
        <w:top w:val="none" w:sz="0" w:space="0" w:color="auto"/>
        <w:left w:val="none" w:sz="0" w:space="0" w:color="auto"/>
        <w:bottom w:val="none" w:sz="0" w:space="0" w:color="auto"/>
        <w:right w:val="none" w:sz="0" w:space="0" w:color="auto"/>
      </w:divBdr>
    </w:div>
    <w:div w:id="739909803">
      <w:bodyDiv w:val="1"/>
      <w:marLeft w:val="0"/>
      <w:marRight w:val="0"/>
      <w:marTop w:val="0"/>
      <w:marBottom w:val="0"/>
      <w:divBdr>
        <w:top w:val="none" w:sz="0" w:space="0" w:color="auto"/>
        <w:left w:val="none" w:sz="0" w:space="0" w:color="auto"/>
        <w:bottom w:val="none" w:sz="0" w:space="0" w:color="auto"/>
        <w:right w:val="none" w:sz="0" w:space="0" w:color="auto"/>
      </w:divBdr>
    </w:div>
    <w:div w:id="833572359">
      <w:bodyDiv w:val="1"/>
      <w:marLeft w:val="0"/>
      <w:marRight w:val="0"/>
      <w:marTop w:val="0"/>
      <w:marBottom w:val="0"/>
      <w:divBdr>
        <w:top w:val="none" w:sz="0" w:space="0" w:color="auto"/>
        <w:left w:val="none" w:sz="0" w:space="0" w:color="auto"/>
        <w:bottom w:val="none" w:sz="0" w:space="0" w:color="auto"/>
        <w:right w:val="none" w:sz="0" w:space="0" w:color="auto"/>
      </w:divBdr>
    </w:div>
    <w:div w:id="145551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office@maliyye.gov.az" TargetMode="External"/><Relationship Id="rId26" Type="http://schemas.openxmlformats.org/officeDocument/2006/relationships/hyperlink" Target="mailto:info@socar.az" TargetMode="External"/><Relationship Id="rId39" Type="http://schemas.openxmlformats.org/officeDocument/2006/relationships/footer" Target="footer1.xml"/><Relationship Id="rId21" Type="http://schemas.openxmlformats.org/officeDocument/2006/relationships/hyperlink" Target="http://www.minenergy.gov.az/" TargetMode="External"/><Relationship Id="rId34" Type="http://schemas.openxmlformats.org/officeDocument/2006/relationships/hyperlink" Target="http://www.mrmm.az"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office@taxes.gov.az" TargetMode="External"/><Relationship Id="rId20" Type="http://schemas.openxmlformats.org/officeDocument/2006/relationships/hyperlink" Target="http://www.finance.gov.az" TargetMode="External"/><Relationship Id="rId29" Type="http://schemas.openxmlformats.org/officeDocument/2006/relationships/hyperlink" Target="http://www.azpromo.a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mailto:sc@azstat.org" TargetMode="External"/><Relationship Id="rId32" Type="http://schemas.openxmlformats.org/officeDocument/2006/relationships/hyperlink" Target="http://www.chamber.az" TargetMode="External"/><Relationship Id="rId37" Type="http://schemas.openxmlformats.org/officeDocument/2006/relationships/hyperlink" Target="mailto:office@iteca.az"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onomy.gov.az/" TargetMode="External"/><Relationship Id="rId23" Type="http://schemas.openxmlformats.org/officeDocument/2006/relationships/hyperlink" Target="http://www.customs.gov.az" TargetMode="External"/><Relationship Id="rId28" Type="http://schemas.openxmlformats.org/officeDocument/2006/relationships/hyperlink" Target="mailto:office@azpromo.az" TargetMode="External"/><Relationship Id="rId36" Type="http://schemas.openxmlformats.org/officeDocument/2006/relationships/hyperlink" Target="http://www.aba.az" TargetMode="External"/><Relationship Id="rId10" Type="http://schemas.openxmlformats.org/officeDocument/2006/relationships/image" Target="media/image2.png"/><Relationship Id="rId19" Type="http://schemas.openxmlformats.org/officeDocument/2006/relationships/hyperlink" Target="http://www.maliyye.gov.az" TargetMode="External"/><Relationship Id="rId31" Type="http://schemas.openxmlformats.org/officeDocument/2006/relationships/hyperlink" Target="mailto:expo@chamber.a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ffice@economy.gov.az" TargetMode="External"/><Relationship Id="rId22" Type="http://schemas.openxmlformats.org/officeDocument/2006/relationships/hyperlink" Target="mailto:international@customs.gov.az" TargetMode="External"/><Relationship Id="rId27" Type="http://schemas.openxmlformats.org/officeDocument/2006/relationships/hyperlink" Target="http://www.socar.az" TargetMode="External"/><Relationship Id="rId30" Type="http://schemas.openxmlformats.org/officeDocument/2006/relationships/hyperlink" Target="http://www.ask.org.az" TargetMode="External"/><Relationship Id="rId35" Type="http://schemas.openxmlformats.org/officeDocument/2006/relationships/hyperlink" Target="mailto:office@aba.az"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www.taxes.gov.az" TargetMode="External"/><Relationship Id="rId25" Type="http://schemas.openxmlformats.org/officeDocument/2006/relationships/hyperlink" Target="http://www.stat.gov.az" TargetMode="External"/><Relationship Id="rId33" Type="http://schemas.openxmlformats.org/officeDocument/2006/relationships/hyperlink" Target="mailto:president@mrmm.az" TargetMode="External"/><Relationship Id="rId38" Type="http://schemas.openxmlformats.org/officeDocument/2006/relationships/hyperlink" Target="http://www.iteca.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696B0-100D-409B-8633-B2B09642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9851</Words>
  <Characters>53198</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Efi Gorantonaki</cp:lastModifiedBy>
  <cp:revision>2</cp:revision>
  <cp:lastPrinted>2020-07-29T08:47:00Z</cp:lastPrinted>
  <dcterms:created xsi:type="dcterms:W3CDTF">2020-07-31T09:08:00Z</dcterms:created>
  <dcterms:modified xsi:type="dcterms:W3CDTF">2020-07-31T09:08:00Z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